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5CD" w:rsidRPr="000838CF" w:rsidRDefault="00C755CD" w:rsidP="00267725">
      <w:pPr>
        <w:pStyle w:val="Normal1"/>
        <w:jc w:val="center"/>
        <w:rPr>
          <w:color w:val="auto"/>
          <w:sz w:val="24"/>
          <w:szCs w:val="24"/>
        </w:rPr>
      </w:pPr>
      <w:r>
        <w:rPr>
          <w:rFonts w:ascii="Times New Roman" w:hAnsi="Times New Roman" w:cs="Times New Roman"/>
          <w:b/>
          <w:bCs/>
          <w:sz w:val="24"/>
          <w:szCs w:val="24"/>
        </w:rPr>
        <w:t>REL</w:t>
      </w:r>
      <w:r w:rsidRPr="00053034">
        <w:rPr>
          <w:rFonts w:ascii="Times New Roman" w:hAnsi="Times New Roman" w:cs="Times New Roman"/>
          <w:b/>
          <w:bCs/>
          <w:color w:val="auto"/>
          <w:sz w:val="24"/>
          <w:szCs w:val="24"/>
        </w:rPr>
        <w:t>AÇÕES INTERÉTNICAS: (DES)ENCONTROS ENTRE KAINGANG E IMIGRANTES HOLANDESES NO SÉCULO XIX EM TERRITÓRIOS DAS BACIAS HIDROGRÁFICAS TAQ</w:t>
      </w:r>
      <w:bookmarkStart w:id="0" w:name="_GoBack"/>
      <w:bookmarkEnd w:id="0"/>
      <w:r w:rsidRPr="00053034">
        <w:rPr>
          <w:rFonts w:ascii="Times New Roman" w:hAnsi="Times New Roman" w:cs="Times New Roman"/>
          <w:b/>
          <w:bCs/>
          <w:color w:val="auto"/>
          <w:sz w:val="24"/>
          <w:szCs w:val="24"/>
        </w:rPr>
        <w:t>UARI-ANTAS E CAÍ</w:t>
      </w:r>
      <w:r>
        <w:rPr>
          <w:rFonts w:ascii="Times New Roman" w:hAnsi="Times New Roman" w:cs="Times New Roman"/>
          <w:b/>
          <w:bCs/>
          <w:sz w:val="24"/>
          <w:szCs w:val="24"/>
        </w:rPr>
        <w:t>/RIO GRANDE DO SUL</w:t>
      </w:r>
      <w:r w:rsidRPr="000838CF">
        <w:rPr>
          <w:rStyle w:val="FootnoteReference"/>
          <w:rFonts w:ascii="Times New Roman" w:hAnsi="Times New Roman" w:cs="Times New Roman"/>
          <w:b/>
          <w:bCs/>
          <w:sz w:val="24"/>
          <w:szCs w:val="24"/>
        </w:rPr>
        <w:footnoteReference w:id="1"/>
      </w:r>
    </w:p>
    <w:p w:rsidR="00C755CD" w:rsidRPr="00A40905" w:rsidRDefault="00C755CD" w:rsidP="00A40905">
      <w:pPr>
        <w:pStyle w:val="Normal1"/>
        <w:spacing w:after="0" w:line="240" w:lineRule="auto"/>
        <w:jc w:val="right"/>
        <w:rPr>
          <w:rFonts w:ascii="Times New Roman" w:hAnsi="Times New Roman" w:cs="Times New Roman"/>
          <w:b/>
          <w:bCs/>
          <w:color w:val="auto"/>
          <w:sz w:val="24"/>
          <w:szCs w:val="24"/>
        </w:rPr>
      </w:pPr>
    </w:p>
    <w:p w:rsidR="00C755CD" w:rsidRPr="00EC37FA" w:rsidRDefault="00C755CD" w:rsidP="00A40905">
      <w:pPr>
        <w:spacing w:after="0" w:line="240" w:lineRule="auto"/>
        <w:jc w:val="right"/>
        <w:rPr>
          <w:rFonts w:ascii="Times New Roman" w:hAnsi="Times New Roman" w:cs="Times New Roman"/>
          <w:sz w:val="24"/>
          <w:szCs w:val="24"/>
        </w:rPr>
      </w:pPr>
      <w:r w:rsidRPr="00EC37FA">
        <w:rPr>
          <w:rFonts w:ascii="Times New Roman" w:hAnsi="Times New Roman" w:cs="Times New Roman"/>
          <w:sz w:val="24"/>
          <w:szCs w:val="24"/>
        </w:rPr>
        <w:t xml:space="preserve">Luís Fernando da Silva Laroque </w:t>
      </w:r>
      <w:r w:rsidRPr="00EC37FA">
        <w:rPr>
          <w:rStyle w:val="FootnoteReference"/>
          <w:rFonts w:ascii="Times New Roman" w:hAnsi="Times New Roman" w:cs="Times New Roman"/>
          <w:sz w:val="24"/>
          <w:szCs w:val="24"/>
        </w:rPr>
        <w:footnoteReference w:id="2"/>
      </w:r>
    </w:p>
    <w:p w:rsidR="00C755CD" w:rsidRPr="00C265E8" w:rsidRDefault="00C755CD" w:rsidP="00A40905">
      <w:pPr>
        <w:spacing w:after="0" w:line="240" w:lineRule="auto"/>
        <w:jc w:val="right"/>
        <w:rPr>
          <w:rFonts w:ascii="Times New Roman" w:hAnsi="Times New Roman" w:cs="Times New Roman"/>
          <w:sz w:val="24"/>
          <w:szCs w:val="24"/>
          <w:lang w:val="en-US"/>
        </w:rPr>
      </w:pPr>
      <w:r w:rsidRPr="00C265E8">
        <w:rPr>
          <w:rFonts w:ascii="Times New Roman" w:hAnsi="Times New Roman" w:cs="Times New Roman"/>
          <w:sz w:val="24"/>
          <w:szCs w:val="24"/>
          <w:lang w:val="en-US"/>
        </w:rPr>
        <w:t xml:space="preserve">Tiago Weizenmann  </w:t>
      </w:r>
      <w:r w:rsidRPr="00EC37FA">
        <w:rPr>
          <w:rStyle w:val="FootnoteReference"/>
          <w:rFonts w:ascii="Times New Roman" w:hAnsi="Times New Roman" w:cs="Times New Roman"/>
          <w:sz w:val="24"/>
          <w:szCs w:val="24"/>
        </w:rPr>
        <w:footnoteReference w:id="3"/>
      </w:r>
    </w:p>
    <w:p w:rsidR="00C755CD" w:rsidRPr="00C265E8" w:rsidRDefault="00C755CD" w:rsidP="00A40905">
      <w:pPr>
        <w:spacing w:after="0" w:line="240" w:lineRule="auto"/>
        <w:jc w:val="right"/>
        <w:rPr>
          <w:rFonts w:ascii="Times New Roman" w:hAnsi="Times New Roman" w:cs="Times New Roman"/>
          <w:sz w:val="24"/>
          <w:szCs w:val="24"/>
          <w:lang w:val="en-US"/>
        </w:rPr>
      </w:pPr>
      <w:r w:rsidRPr="00C265E8">
        <w:rPr>
          <w:rFonts w:ascii="Times New Roman" w:hAnsi="Times New Roman" w:cs="Times New Roman"/>
          <w:sz w:val="24"/>
          <w:szCs w:val="24"/>
          <w:lang w:val="en-US"/>
        </w:rPr>
        <w:t xml:space="preserve">Jéferson Luís Schäeffer </w:t>
      </w:r>
      <w:r w:rsidRPr="00EC37FA">
        <w:rPr>
          <w:rStyle w:val="FootnoteReference"/>
          <w:rFonts w:ascii="Times New Roman" w:hAnsi="Times New Roman" w:cs="Times New Roman"/>
          <w:sz w:val="24"/>
          <w:szCs w:val="24"/>
        </w:rPr>
        <w:footnoteReference w:id="4"/>
      </w:r>
      <w:r w:rsidRPr="00C265E8">
        <w:rPr>
          <w:b/>
          <w:bCs/>
          <w:lang w:val="en-US"/>
        </w:rPr>
        <w:br/>
      </w:r>
    </w:p>
    <w:p w:rsidR="00C755CD" w:rsidRPr="00EC37FA" w:rsidRDefault="00C755CD" w:rsidP="00A40905">
      <w:pPr>
        <w:spacing w:after="0" w:line="240" w:lineRule="auto"/>
        <w:jc w:val="both"/>
        <w:rPr>
          <w:rFonts w:ascii="Times New Roman" w:hAnsi="Times New Roman" w:cs="Times New Roman"/>
          <w:sz w:val="20"/>
          <w:szCs w:val="20"/>
        </w:rPr>
      </w:pPr>
      <w:r w:rsidRPr="00EC37FA">
        <w:rPr>
          <w:rFonts w:ascii="Times New Roman" w:hAnsi="Times New Roman" w:cs="Times New Roman"/>
          <w:b/>
          <w:bCs/>
          <w:sz w:val="20"/>
          <w:szCs w:val="20"/>
        </w:rPr>
        <w:t>Resumo</w:t>
      </w:r>
      <w:r w:rsidRPr="00EC37FA">
        <w:rPr>
          <w:rFonts w:ascii="Times New Roman" w:hAnsi="Times New Roman" w:cs="Times New Roman"/>
          <w:sz w:val="20"/>
          <w:szCs w:val="20"/>
        </w:rPr>
        <w:t>:</w:t>
      </w:r>
      <w:r w:rsidRPr="00EC37FA">
        <w:rPr>
          <w:sz w:val="20"/>
          <w:szCs w:val="20"/>
        </w:rPr>
        <w:t xml:space="preserve"> </w:t>
      </w:r>
      <w:r w:rsidRPr="00EC37FA">
        <w:rPr>
          <w:rFonts w:ascii="Times New Roman" w:hAnsi="Times New Roman" w:cs="Times New Roman"/>
          <w:sz w:val="20"/>
          <w:szCs w:val="20"/>
        </w:rPr>
        <w:t>O território das Bacias Hidrográficas do Taquari-Antas e Caí inserem-se no nordeste do Estado do Rio Grande do Sul, e foram formadas pelas movimentações de grupos indígenas, africanos escravizados, europeus e seus descendentes, compondo um mosaico étnico e cultural diversificado. O estudo tem como objetivo analisar as relações estabelecidas entre grupos distintos que se movimentaram pelo mesmo espaço no século XIX, em particular, envolvendo relações entre indígenas Kaingang e imigrantes holandeses. No século XIX, os espaços entre o planalto sul-rio-grandense e as bacias hidrográficas do Taquari-Antas e Caí compreendiam parte do tradicional território Kaingang, os quais passaram a manter relações de conflitos ou  de aliança com o elemento europeu a partir da introdução de colonos que compunham as frentes de expansão criadas pelo Estado Nacional Brasileiro. Os imigrantes holandeses, introduzidos na segunda metade do século XIX, compuseram parte das referidas frentes de expansão, sendo instalados em colônias em formação na Província de São Pedro do Rio Grande do Sul. Neste contexto colonizatório, ocorreram contatos interétnicos entre os referidos agentes históricos, cujas relações, na maior parte das vezes conflituosas, tiveram significados culturais distintos para cada um dos grupos.</w:t>
      </w:r>
    </w:p>
    <w:p w:rsidR="00C755CD" w:rsidRPr="00EC37FA" w:rsidRDefault="00C755CD" w:rsidP="00A40905">
      <w:pPr>
        <w:spacing w:after="0" w:line="240" w:lineRule="auto"/>
        <w:jc w:val="both"/>
        <w:rPr>
          <w:rFonts w:ascii="Times New Roman" w:hAnsi="Times New Roman" w:cs="Times New Roman"/>
          <w:sz w:val="20"/>
          <w:szCs w:val="20"/>
        </w:rPr>
      </w:pPr>
    </w:p>
    <w:p w:rsidR="00C755CD" w:rsidRPr="00EC37FA" w:rsidRDefault="00C755CD" w:rsidP="00A40905">
      <w:pPr>
        <w:pStyle w:val="Normal1"/>
        <w:keepNext w:val="0"/>
        <w:spacing w:after="0" w:line="240" w:lineRule="auto"/>
        <w:jc w:val="both"/>
        <w:rPr>
          <w:rFonts w:ascii="Times New Roman" w:hAnsi="Times New Roman" w:cs="Times New Roman"/>
          <w:sz w:val="20"/>
          <w:szCs w:val="20"/>
        </w:rPr>
      </w:pPr>
      <w:r w:rsidRPr="00EC37FA">
        <w:rPr>
          <w:rFonts w:ascii="Times New Roman" w:hAnsi="Times New Roman" w:cs="Times New Roman"/>
          <w:b/>
          <w:bCs/>
          <w:sz w:val="20"/>
          <w:szCs w:val="20"/>
        </w:rPr>
        <w:t xml:space="preserve">Palavras-chave: </w:t>
      </w:r>
      <w:r w:rsidRPr="00EC37FA">
        <w:rPr>
          <w:rFonts w:ascii="Times New Roman" w:hAnsi="Times New Roman" w:cs="Times New Roman"/>
          <w:sz w:val="20"/>
          <w:szCs w:val="20"/>
        </w:rPr>
        <w:t>Bacia Hidrográfica</w:t>
      </w:r>
      <w:r w:rsidRPr="00EC37FA">
        <w:rPr>
          <w:rFonts w:ascii="Times New Roman" w:hAnsi="Times New Roman" w:cs="Times New Roman"/>
          <w:color w:val="auto"/>
          <w:sz w:val="20"/>
          <w:szCs w:val="20"/>
        </w:rPr>
        <w:t>; conflitos interéntico, Kaingang</w:t>
      </w:r>
      <w:r w:rsidRPr="00EC37FA">
        <w:rPr>
          <w:rFonts w:ascii="Times New Roman" w:hAnsi="Times New Roman" w:cs="Times New Roman"/>
          <w:sz w:val="20"/>
          <w:szCs w:val="20"/>
        </w:rPr>
        <w:t>; Holandeses.</w:t>
      </w:r>
    </w:p>
    <w:p w:rsidR="00C755CD" w:rsidRPr="00EC37FA" w:rsidRDefault="00C755CD" w:rsidP="00A40905">
      <w:pPr>
        <w:pStyle w:val="Normal1"/>
        <w:keepNext w:val="0"/>
        <w:spacing w:before="28" w:after="198" w:line="240" w:lineRule="auto"/>
        <w:jc w:val="both"/>
        <w:rPr>
          <w:rFonts w:ascii="Times New Roman" w:hAnsi="Times New Roman" w:cs="Times New Roman"/>
          <w:sz w:val="20"/>
          <w:szCs w:val="20"/>
        </w:rPr>
      </w:pPr>
    </w:p>
    <w:p w:rsidR="00C755CD" w:rsidRPr="00EC37FA" w:rsidRDefault="00C755CD" w:rsidP="00C01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auto"/>
          <w:sz w:val="20"/>
          <w:szCs w:val="20"/>
          <w:lang w:val="en-US"/>
        </w:rPr>
      </w:pPr>
      <w:r w:rsidRPr="00EC37FA">
        <w:rPr>
          <w:rFonts w:ascii="Times New Roman" w:hAnsi="Times New Roman" w:cs="Times New Roman"/>
          <w:color w:val="auto"/>
          <w:sz w:val="20"/>
          <w:szCs w:val="20"/>
          <w:lang w:val="en-US"/>
        </w:rPr>
        <w:t>INTERETHNIC RELATIONS: CROSSROADS BETWEEN KAINGANG AND DUTCH IMMIGRANTS IN THE NINETEENTH CENTURY IN TERRITORIES OF TAQUARI-ANTAS AND CAÍ HYDROGRAPHIC BASIN</w:t>
      </w:r>
      <w:r>
        <w:rPr>
          <w:rFonts w:ascii="Times New Roman" w:hAnsi="Times New Roman" w:cs="Times New Roman"/>
          <w:color w:val="auto"/>
          <w:sz w:val="20"/>
          <w:szCs w:val="20"/>
          <w:lang w:val="en-US"/>
        </w:rPr>
        <w:t>/RIO GRANDE DO SUL</w:t>
      </w:r>
    </w:p>
    <w:p w:rsidR="00C755CD" w:rsidRDefault="00C755CD" w:rsidP="00A409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p>
    <w:p w:rsidR="00C755CD" w:rsidRPr="00EC37FA" w:rsidRDefault="00C755CD" w:rsidP="00A409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auto"/>
          <w:sz w:val="20"/>
          <w:szCs w:val="20"/>
          <w:lang w:val="en-US"/>
        </w:rPr>
      </w:pPr>
      <w:r w:rsidRPr="00EC37FA">
        <w:rPr>
          <w:rFonts w:ascii="Times New Roman" w:hAnsi="Times New Roman" w:cs="Times New Roman"/>
          <w:color w:val="auto"/>
          <w:sz w:val="20"/>
          <w:szCs w:val="20"/>
          <w:lang w:val="en-US"/>
        </w:rPr>
        <w:t xml:space="preserve">ABSTRACT:  Taquari-Antas and </w:t>
      </w:r>
      <w:smartTag w:uri="urn:schemas-microsoft-com:office:smarttags" w:element="place">
        <w:smartTag w:uri="urn:schemas-microsoft-com:office:smarttags" w:element="PlaceName">
          <w:r w:rsidRPr="00EC37FA">
            <w:rPr>
              <w:rFonts w:ascii="Times New Roman" w:hAnsi="Times New Roman" w:cs="Times New Roman"/>
              <w:color w:val="auto"/>
              <w:sz w:val="20"/>
              <w:szCs w:val="20"/>
              <w:lang w:val="en-US"/>
            </w:rPr>
            <w:t>Caí</w:t>
          </w:r>
        </w:smartTag>
        <w:r w:rsidRPr="00EC37FA">
          <w:rPr>
            <w:rFonts w:ascii="Times New Roman" w:hAnsi="Times New Roman" w:cs="Times New Roman"/>
            <w:color w:val="auto"/>
            <w:sz w:val="20"/>
            <w:szCs w:val="20"/>
            <w:lang w:val="en-US"/>
          </w:rPr>
          <w:t xml:space="preserve"> </w:t>
        </w:r>
        <w:smartTag w:uri="urn:schemas-microsoft-com:office:smarttags" w:element="PlaceName">
          <w:r w:rsidRPr="00EC37FA">
            <w:rPr>
              <w:rFonts w:ascii="Times New Roman" w:hAnsi="Times New Roman" w:cs="Times New Roman"/>
              <w:color w:val="auto"/>
              <w:sz w:val="20"/>
              <w:szCs w:val="20"/>
              <w:lang w:val="en-US"/>
            </w:rPr>
            <w:t>Hydragraphic</w:t>
          </w:r>
        </w:smartTag>
        <w:r w:rsidRPr="00EC37FA">
          <w:rPr>
            <w:rFonts w:ascii="Times New Roman" w:hAnsi="Times New Roman" w:cs="Times New Roman"/>
            <w:color w:val="auto"/>
            <w:sz w:val="20"/>
            <w:szCs w:val="20"/>
            <w:lang w:val="en-US"/>
          </w:rPr>
          <w:t xml:space="preserve"> </w:t>
        </w:r>
        <w:smartTag w:uri="urn:schemas-microsoft-com:office:smarttags" w:element="PlaceType">
          <w:r w:rsidRPr="00EC37FA">
            <w:rPr>
              <w:rFonts w:ascii="Times New Roman" w:hAnsi="Times New Roman" w:cs="Times New Roman"/>
              <w:color w:val="auto"/>
              <w:sz w:val="20"/>
              <w:szCs w:val="20"/>
              <w:lang w:val="en-US"/>
            </w:rPr>
            <w:t>Basin</w:t>
          </w:r>
        </w:smartTag>
      </w:smartTag>
      <w:r w:rsidRPr="00EC37FA">
        <w:rPr>
          <w:rFonts w:ascii="Times New Roman" w:hAnsi="Times New Roman" w:cs="Times New Roman"/>
          <w:color w:val="auto"/>
          <w:sz w:val="20"/>
          <w:szCs w:val="20"/>
          <w:lang w:val="en-US"/>
        </w:rPr>
        <w:t xml:space="preserve"> are located in the northeast of the State of Rio Grande do Sul, and were formed by the movements of indigenous groups, enslaved Africans, Europeans and their descendants, composing a diverse ethnic and cultural mosaic. The study aims to analyze the relationships established between distinct groups that moved around the same space in the nineteenth century, in particular, involving relations between Kaingang natives and Dutch immigrants. In the nineteenth century, the spaces between the plateau in the south of Rio Grande do Sul and the Hydrographic Basins of Taquari-Antas and Caí were part of the traditional Kaingang territory, which began to maintain relations of conflict or alliance with the European element from the introduction of settlers that formed the fronts of expansion created by the Brazilian National State. The Dutch immigrants, introduced in the second half of the nineteenth century, formed part of these fronts of expansion, being installed in colonies in formation in the </w:t>
      </w:r>
      <w:smartTag w:uri="urn:schemas-microsoft-com:office:smarttags" w:element="place">
        <w:smartTag w:uri="urn:schemas-microsoft-com:office:smarttags" w:element="PlaceType">
          <w:r w:rsidRPr="00EC37FA">
            <w:rPr>
              <w:rFonts w:ascii="Times New Roman" w:hAnsi="Times New Roman" w:cs="Times New Roman"/>
              <w:color w:val="auto"/>
              <w:sz w:val="20"/>
              <w:szCs w:val="20"/>
              <w:lang w:val="en-US"/>
            </w:rPr>
            <w:t>Province</w:t>
          </w:r>
        </w:smartTag>
        <w:r w:rsidRPr="00EC37FA">
          <w:rPr>
            <w:rFonts w:ascii="Times New Roman" w:hAnsi="Times New Roman" w:cs="Times New Roman"/>
            <w:color w:val="auto"/>
            <w:sz w:val="20"/>
            <w:szCs w:val="20"/>
            <w:lang w:val="en-US"/>
          </w:rPr>
          <w:t xml:space="preserve"> of </w:t>
        </w:r>
        <w:smartTag w:uri="urn:schemas-microsoft-com:office:smarttags" w:element="PlaceName">
          <w:r w:rsidRPr="00EC37FA">
            <w:rPr>
              <w:rFonts w:ascii="Times New Roman" w:hAnsi="Times New Roman" w:cs="Times New Roman"/>
              <w:color w:val="auto"/>
              <w:sz w:val="20"/>
              <w:szCs w:val="20"/>
              <w:lang w:val="en-US"/>
            </w:rPr>
            <w:t>São Pedro</w:t>
          </w:r>
        </w:smartTag>
      </w:smartTag>
      <w:r w:rsidRPr="00EC37FA">
        <w:rPr>
          <w:rFonts w:ascii="Times New Roman" w:hAnsi="Times New Roman" w:cs="Times New Roman"/>
          <w:color w:val="auto"/>
          <w:sz w:val="20"/>
          <w:szCs w:val="20"/>
          <w:lang w:val="en-US"/>
        </w:rPr>
        <w:t xml:space="preserve"> of </w:t>
      </w:r>
      <w:smartTag w:uri="urn:schemas-microsoft-com:office:smarttags" w:element="place">
        <w:smartTag w:uri="urn:schemas-microsoft-com:office:smarttags" w:element="City">
          <w:r w:rsidRPr="00EC37FA">
            <w:rPr>
              <w:rFonts w:ascii="Times New Roman" w:hAnsi="Times New Roman" w:cs="Times New Roman"/>
              <w:color w:val="auto"/>
              <w:sz w:val="20"/>
              <w:szCs w:val="20"/>
              <w:lang w:val="en-US"/>
            </w:rPr>
            <w:t>Rio Grande</w:t>
          </w:r>
        </w:smartTag>
      </w:smartTag>
      <w:r w:rsidRPr="00EC37FA">
        <w:rPr>
          <w:rFonts w:ascii="Times New Roman" w:hAnsi="Times New Roman" w:cs="Times New Roman"/>
          <w:color w:val="auto"/>
          <w:sz w:val="20"/>
          <w:szCs w:val="20"/>
          <w:lang w:val="en-US"/>
        </w:rPr>
        <w:t xml:space="preserve"> do Sul. In this colonial context, interethnic contacts took place between the mentioned historical agents, whose relations, most of the times conflicted, had different cultural meanings for each of the groups.</w:t>
      </w:r>
    </w:p>
    <w:p w:rsidR="00C755CD" w:rsidRPr="00EC37FA" w:rsidRDefault="00C755CD" w:rsidP="00A409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0"/>
          <w:szCs w:val="20"/>
          <w:lang w:val="en-US"/>
        </w:rPr>
      </w:pPr>
    </w:p>
    <w:p w:rsidR="00C755CD" w:rsidRPr="00EC37FA" w:rsidRDefault="00C755CD" w:rsidP="00A409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0"/>
          <w:szCs w:val="20"/>
          <w:lang w:val="en-US"/>
        </w:rPr>
      </w:pPr>
      <w:r w:rsidRPr="00EC37FA">
        <w:rPr>
          <w:rFonts w:ascii="Times New Roman" w:hAnsi="Times New Roman" w:cs="Times New Roman"/>
          <w:color w:val="auto"/>
          <w:sz w:val="20"/>
          <w:szCs w:val="20"/>
          <w:lang w:val="en-US"/>
        </w:rPr>
        <w:t>Keywords: Hydrographic Basin; Interethnic conflicts, Kaingang; Dutch.</w:t>
      </w:r>
    </w:p>
    <w:p w:rsidR="00C755CD" w:rsidRPr="003E15A8" w:rsidRDefault="00C755CD" w:rsidP="00267725">
      <w:pPr>
        <w:pStyle w:val="Normal1"/>
        <w:keepNext w:val="0"/>
        <w:spacing w:before="28" w:after="198" w:line="240" w:lineRule="auto"/>
        <w:jc w:val="both"/>
        <w:rPr>
          <w:rFonts w:ascii="Times New Roman" w:hAnsi="Times New Roman" w:cs="Times New Roman"/>
          <w:color w:val="auto"/>
          <w:sz w:val="24"/>
          <w:szCs w:val="24"/>
          <w:lang w:val="en-US"/>
        </w:rPr>
      </w:pPr>
    </w:p>
    <w:p w:rsidR="00C755CD" w:rsidRPr="00053034" w:rsidRDefault="00C755CD" w:rsidP="00267725">
      <w:pPr>
        <w:pStyle w:val="Normal1"/>
        <w:keepNext w:val="0"/>
        <w:spacing w:before="28" w:after="198" w:line="24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1 </w:t>
      </w:r>
      <w:r w:rsidRPr="00053034">
        <w:rPr>
          <w:rFonts w:ascii="Times New Roman" w:hAnsi="Times New Roman" w:cs="Times New Roman"/>
          <w:b/>
          <w:bCs/>
          <w:color w:val="auto"/>
          <w:sz w:val="24"/>
          <w:szCs w:val="24"/>
        </w:rPr>
        <w:t>INTRODUÇÃO</w:t>
      </w:r>
    </w:p>
    <w:p w:rsidR="00C755CD" w:rsidRPr="00102124" w:rsidRDefault="00C755CD" w:rsidP="00A40905">
      <w:pPr>
        <w:pStyle w:val="Normal1"/>
        <w:keepNext w:val="0"/>
        <w:spacing w:before="28" w:after="198" w:line="360" w:lineRule="auto"/>
        <w:ind w:firstLine="720"/>
        <w:jc w:val="both"/>
        <w:rPr>
          <w:rFonts w:ascii="Times New Roman" w:hAnsi="Times New Roman" w:cs="Times New Roman"/>
          <w:color w:val="auto"/>
          <w:sz w:val="24"/>
          <w:szCs w:val="24"/>
        </w:rPr>
      </w:pPr>
      <w:r w:rsidRPr="00053034">
        <w:rPr>
          <w:rFonts w:ascii="Times New Roman" w:hAnsi="Times New Roman" w:cs="Times New Roman"/>
          <w:color w:val="auto"/>
          <w:sz w:val="24"/>
          <w:szCs w:val="24"/>
        </w:rPr>
        <w:t xml:space="preserve">A Província de São Pedro do Rio Grande do Sul se constituiu a partir da imigração de </w:t>
      </w:r>
      <w:r w:rsidRPr="00102124">
        <w:rPr>
          <w:rFonts w:ascii="Times New Roman" w:hAnsi="Times New Roman" w:cs="Times New Roman"/>
          <w:color w:val="auto"/>
          <w:sz w:val="24"/>
          <w:szCs w:val="24"/>
        </w:rPr>
        <w:t>grupos étnicos distintos e das migrações internas promovidas por estes, tais como grupos indígenas, africanos e europeus, que compuseram um mosaico étnico e cultural bastante diversificado. O presente estudo tem como limite temporal o século XIX e demarcação espacial territórios das Bacias Hidrográficas Taquari-Antas e Caí</w:t>
      </w:r>
      <w:r w:rsidRPr="00102124">
        <w:rPr>
          <w:rStyle w:val="FootnoteReference"/>
          <w:rFonts w:ascii="Times New Roman" w:hAnsi="Times New Roman" w:cs="Times New Roman"/>
          <w:color w:val="auto"/>
          <w:sz w:val="24"/>
          <w:szCs w:val="24"/>
        </w:rPr>
        <w:footnoteReference w:id="5"/>
      </w:r>
      <w:r w:rsidRPr="00102124">
        <w:rPr>
          <w:rFonts w:ascii="Times New Roman" w:hAnsi="Times New Roman" w:cs="Times New Roman"/>
          <w:color w:val="auto"/>
          <w:sz w:val="24"/>
          <w:szCs w:val="24"/>
        </w:rPr>
        <w:t>, ambas localizadas no nordeste do Estado do Rio Grande do Sul, abrangendo as Províncias geomorfológicas Planalto Meridional e Depressão Central (SEMA, 2017).</w:t>
      </w:r>
    </w:p>
    <w:p w:rsidR="00C755CD" w:rsidRPr="00102124" w:rsidRDefault="00C755CD" w:rsidP="00A4090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problemática proposta neste estudo é apresentar o processo de ocupação e povoação do territ</w:t>
      </w:r>
      <w:r>
        <w:rPr>
          <w:rFonts w:ascii="Times New Roman" w:hAnsi="Times New Roman" w:cs="Times New Roman"/>
          <w:color w:val="auto"/>
          <w:sz w:val="24"/>
          <w:szCs w:val="24"/>
        </w:rPr>
        <w:t>ório correspondente à</w:t>
      </w:r>
      <w:r w:rsidRPr="00102124">
        <w:rPr>
          <w:rFonts w:ascii="Times New Roman" w:hAnsi="Times New Roman" w:cs="Times New Roman"/>
          <w:color w:val="auto"/>
          <w:sz w:val="24"/>
          <w:szCs w:val="24"/>
        </w:rPr>
        <w:t xml:space="preserve">s Bacias Hidrográficas Taquari-Antas e Caí no século XIX. O objetivo do trabalho é analisar as relações estabelecidas a partir de grupos distintos que se movimentaram em um espaço comum, em particular, envolvendo as relações entre indígenas Kaingang e imigrantes holandeses. </w:t>
      </w:r>
    </w:p>
    <w:p w:rsidR="00C755CD" w:rsidRPr="00102124" w:rsidRDefault="00C755CD" w:rsidP="00A40905">
      <w:pPr>
        <w:pStyle w:val="Normal1"/>
        <w:keepNext w:val="0"/>
        <w:tabs>
          <w:tab w:val="left" w:pos="6300"/>
        </w:tabs>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Neste sentido, o tradicional território Kaingang no século XIX, compreendia os espaços entre o planalto sul-rio-grandense e as Bacias Hidrográficas do Taquari-Antas e Caí, os quais pertencem ao Grupo dos Jê-Meridional (BECKER, 1995). Nesta mesma conjuntura, houve uma introdução significativa por parte do Estado Nacional Brasileiro, de grupos europeus provenientes de diferentes nacionalidades, a exemplo dos holandeses, adentrados à Província na segunda metade do século XIX.</w:t>
      </w:r>
    </w:p>
    <w:p w:rsidR="00C755CD" w:rsidRPr="00102124" w:rsidRDefault="00C755CD" w:rsidP="00A4090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O método caracteriza-se por apresentar uma análise qualitativa dos dados pesquisados, embasados em aportes teóricos de cultura, etnicidade e identidade, como Barth ([1969] 2000), Oliveira (1976), Laraia ([1986] 2003) e Woodward (2004) Igualmente, consiste no levantamento de dados coletados em revisões bibliográficas, provenientes de obras de autores que tratam sobre o processo de ocupação da Província de São Pedro do Rio Grande do Sul, e as relações interétnicas estabelecidas entre indígenas e colonizadores. Da mesma forma, fez-se uso de fontes documentais, oriundas de Arquivos Históricos do Estado do Rio Grande do Sul.</w:t>
      </w:r>
    </w:p>
    <w:p w:rsidR="00C755CD" w:rsidRPr="00102124" w:rsidRDefault="00C755CD" w:rsidP="00267725">
      <w:pPr>
        <w:pStyle w:val="Normal1"/>
        <w:keepNext w:val="0"/>
        <w:spacing w:before="28" w:after="198" w:line="240" w:lineRule="auto"/>
        <w:jc w:val="both"/>
        <w:rPr>
          <w:rFonts w:ascii="Times New Roman" w:hAnsi="Times New Roman" w:cs="Times New Roman"/>
          <w:b/>
          <w:bCs/>
          <w:color w:val="auto"/>
          <w:sz w:val="24"/>
          <w:szCs w:val="24"/>
        </w:rPr>
      </w:pPr>
      <w:r w:rsidRPr="00102124">
        <w:rPr>
          <w:rFonts w:ascii="Times New Roman" w:hAnsi="Times New Roman" w:cs="Times New Roman"/>
          <w:b/>
          <w:bCs/>
          <w:color w:val="auto"/>
          <w:sz w:val="24"/>
          <w:szCs w:val="24"/>
        </w:rPr>
        <w:t>2 AGENTES DA HISTÓRIA REGIONAL: GRUPOS ÉTNICOS INVISIBILIZADOS NO PROCESSO DE OCUPAÇÃO DAS BACIAS HIDROGRÁFICAS TAQUARI-ANTAS E CAÍ</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A historiografia tradicional do Rio Grande do Sul invisibilizou grupos étnicos que possuíram papel relevante na constituição de espaços territoriais das Bacias Hidrográficas Taquari-Antas e Caí, colocando em evidência alguns, mas sem ao menos mencionar tantos </w:t>
      </w:r>
      <w:r>
        <w:rPr>
          <w:rFonts w:ascii="Times New Roman" w:hAnsi="Times New Roman" w:cs="Times New Roman"/>
          <w:color w:val="auto"/>
          <w:sz w:val="24"/>
          <w:szCs w:val="24"/>
        </w:rPr>
        <w:t>“outros”, o que resultou em</w:t>
      </w:r>
      <w:r w:rsidRPr="00102124">
        <w:rPr>
          <w:rFonts w:ascii="Times New Roman" w:hAnsi="Times New Roman" w:cs="Times New Roman"/>
          <w:color w:val="auto"/>
          <w:sz w:val="24"/>
          <w:szCs w:val="24"/>
        </w:rPr>
        <w:t xml:space="preserve"> uma lacuna histórica desastrosa no processo de ocupação do referido território. </w:t>
      </w:r>
    </w:p>
    <w:p w:rsidR="00C755CD" w:rsidRPr="00102124" w:rsidRDefault="00C755CD" w:rsidP="00090CA1">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Neste sentido, grupos indígenas culturalmente diversos – provenientes de distintas etnias e troncos linguísticos, são minimizados no discurso popular que tange ao processo colonizatório e na maioria das vezes, sua lembrança é associada à uma situação conflituosa, em que o “outro” é visto como danoso, invasor e perturbador. Estes conflitos foram desencadeados em função do contato interéntico entre indígenas e os integrantes das frentes de expansão</w:t>
      </w:r>
      <w:r w:rsidRPr="00102124">
        <w:rPr>
          <w:rStyle w:val="FootnoteReference"/>
          <w:rFonts w:ascii="Times New Roman" w:hAnsi="Times New Roman" w:cs="Times New Roman"/>
          <w:color w:val="auto"/>
          <w:sz w:val="24"/>
          <w:szCs w:val="24"/>
        </w:rPr>
        <w:footnoteReference w:id="6"/>
      </w:r>
      <w:r w:rsidRPr="00102124">
        <w:rPr>
          <w:rFonts w:ascii="Times New Roman" w:hAnsi="Times New Roman" w:cs="Times New Roman"/>
          <w:color w:val="auto"/>
          <w:sz w:val="24"/>
          <w:szCs w:val="24"/>
        </w:rPr>
        <w:t>, ou seja, através da introdução de estrangeiros – imigrantes, e a expropriação territorial do elemento nacional – indígenas, sejam eles Charrua Minuano, Guarani, Xokleng e Kaingang.</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Igualmente, a presença de africanos na Província de São Pedro do Rio Grande do</w:t>
      </w:r>
      <w:r>
        <w:rPr>
          <w:rFonts w:ascii="Times New Roman" w:hAnsi="Times New Roman" w:cs="Times New Roman"/>
          <w:color w:val="auto"/>
          <w:sz w:val="24"/>
          <w:szCs w:val="24"/>
        </w:rPr>
        <w:t xml:space="preserve"> Sul recebeu pouco espaço</w:t>
      </w:r>
      <w:r w:rsidRPr="00102124">
        <w:rPr>
          <w:rFonts w:ascii="Times New Roman" w:hAnsi="Times New Roman" w:cs="Times New Roman"/>
          <w:color w:val="auto"/>
          <w:sz w:val="24"/>
          <w:szCs w:val="24"/>
        </w:rPr>
        <w:t xml:space="preserve"> na historiografia tradicional. Trabalhos recentes como o de Christillino (2004), Gregory (2015) e Pires (2016), reportam-se a uma presença expressiva de escravizados em Fazendas e posteriores colônias do século XIX na referida Província, bem como, a existência de quilombos. Da mesma forma, Correa (2006) menciona em seu trabalho sobre o multiculturalismo no Rio Grande do Sul do século XIX, a imigração forçada de escravizados africanos e inclusive a existência de quilombos, os quais compuseram parte desta paisagem cultural diversificada.</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imigração europeia, no tocante ao processo de ocupação da Província de São Pedro do Rio Grande do Sul e suas posteriores colônias, é a mais presente no discurso popular, embasada em um sentimento expressivo de pertencimento e continuação das práticas dos antepassados, oriundas do além mar. Portugueses, açorianos, espanhóis, alemães, italianos, e muitos outros na conjuntura socioeconômica e política do século XIX.</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Neste sentido, faz-se necessária uma reflexão acerca do que se entende a partir da expressão generalizante “imigração alemã”. Os resultados desta pesquisa expressam que não se tratavam tão somente de alemães, mas sim, de uma gama de imigrantes oriundos de diferentes regiões da Europa, com aspectos culturais distintos, tais como língua, crenças e costumes.</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Através dos registros de entrada de imigrantes no segundo período da imigração alemã (1848-1874), presentes nos códices 234 e 299 do Arquivo Histórico do Rio Grande do Sul, notou-se a incorporação de uma série de imigrantes provenientes de diferentes nacionalidades para além da alemã, como austríacos, belgas, dinamarqueses, franceses, luxemburgueses, holandeses e suíços.</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A exemplo desta heterogeneidade, temos a entrada da família </w:t>
      </w:r>
      <w:r w:rsidRPr="00102124">
        <w:rPr>
          <w:rFonts w:ascii="Times New Roman" w:hAnsi="Times New Roman" w:cs="Times New Roman"/>
          <w:i/>
          <w:iCs/>
          <w:color w:val="auto"/>
          <w:sz w:val="24"/>
          <w:szCs w:val="24"/>
        </w:rPr>
        <w:t>Alberg</w:t>
      </w:r>
      <w:r w:rsidRPr="00102124">
        <w:rPr>
          <w:rFonts w:ascii="Times New Roman" w:hAnsi="Times New Roman" w:cs="Times New Roman"/>
          <w:color w:val="auto"/>
          <w:sz w:val="24"/>
          <w:szCs w:val="24"/>
        </w:rPr>
        <w:t xml:space="preserve"> – com variantes para </w:t>
      </w:r>
      <w:r w:rsidRPr="00102124">
        <w:rPr>
          <w:rFonts w:ascii="Times New Roman" w:hAnsi="Times New Roman" w:cs="Times New Roman"/>
          <w:i/>
          <w:iCs/>
          <w:color w:val="auto"/>
          <w:sz w:val="24"/>
          <w:szCs w:val="24"/>
        </w:rPr>
        <w:t>Abeck/Abegg</w:t>
      </w:r>
      <w:r w:rsidRPr="00102124">
        <w:rPr>
          <w:rFonts w:ascii="Times New Roman" w:hAnsi="Times New Roman" w:cs="Times New Roman"/>
          <w:color w:val="auto"/>
          <w:sz w:val="24"/>
          <w:szCs w:val="24"/>
        </w:rPr>
        <w:t xml:space="preserve"> no Rio Grande do Sul, oriunda da França:</w:t>
      </w:r>
    </w:p>
    <w:p w:rsidR="00C755CD" w:rsidRPr="00102124" w:rsidRDefault="00C755CD" w:rsidP="00267725">
      <w:pPr>
        <w:pStyle w:val="Normal1"/>
        <w:keepNext w:val="0"/>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 xml:space="preserve">ALBERG, Francisco, 17-21, cas.; Catharina, 0-21, cas.; Catharina, 0-7; Leopoldo, menor de 2 anos; Luiz, menor de 2 anos; </w:t>
      </w:r>
      <w:r w:rsidRPr="00102124">
        <w:rPr>
          <w:rFonts w:ascii="Times New Roman" w:hAnsi="Times New Roman" w:cs="Times New Roman"/>
          <w:b/>
          <w:bCs/>
          <w:color w:val="auto"/>
          <w:sz w:val="20"/>
          <w:szCs w:val="20"/>
        </w:rPr>
        <w:t>franceses</w:t>
      </w:r>
      <w:r w:rsidRPr="00102124">
        <w:rPr>
          <w:rFonts w:ascii="Times New Roman" w:hAnsi="Times New Roman" w:cs="Times New Roman"/>
          <w:color w:val="auto"/>
          <w:sz w:val="20"/>
          <w:szCs w:val="20"/>
        </w:rPr>
        <w:t>.; chegada de Rio Grande neste Porto: 28-11-1858, emb.: Marquês de Caxias (vapor); destino: Nova Petrópolis. [...] (CÓDICE 234, Nº 6-10, p. 64, grifo nosso).</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No que tange a estes grupos de imigrantes europeus, há uma intensa necessidade de distinguir a proveniência destas famílias, qual o país de origem, qual a instrução religiosa, qual a</w:t>
      </w:r>
      <w:r>
        <w:rPr>
          <w:rFonts w:ascii="Times New Roman" w:hAnsi="Times New Roman" w:cs="Times New Roman"/>
          <w:color w:val="auto"/>
          <w:sz w:val="24"/>
          <w:szCs w:val="24"/>
        </w:rPr>
        <w:t xml:space="preserve"> variação lingüística</w:t>
      </w:r>
      <w:r w:rsidRPr="00102124">
        <w:rPr>
          <w:rFonts w:ascii="Times New Roman" w:hAnsi="Times New Roman" w:cs="Times New Roman"/>
          <w:color w:val="auto"/>
          <w:sz w:val="24"/>
          <w:szCs w:val="24"/>
        </w:rPr>
        <w:t>, entre outras caracterizações, para que se note a heterogeneidade dos grupos que compuseram a expressão “imigração alemã”, na qual há muitos mais do que parece haver. Visto desta forma, o discurso acerca da imigração alemã não está defasado, mas muito ainda precisa ser investigado, necessitando-se de estudos e problematizações.</w:t>
      </w:r>
    </w:p>
    <w:p w:rsidR="00C755CD" w:rsidRPr="00102124" w:rsidRDefault="00C755CD" w:rsidP="00090CA1">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Neste sentido, </w:t>
      </w:r>
      <w:r>
        <w:rPr>
          <w:rFonts w:ascii="Times New Roman" w:hAnsi="Times New Roman" w:cs="Times New Roman"/>
          <w:color w:val="auto"/>
          <w:sz w:val="24"/>
          <w:szCs w:val="24"/>
        </w:rPr>
        <w:t xml:space="preserve">cabe destacar as considerações de </w:t>
      </w:r>
      <w:r w:rsidRPr="00102124">
        <w:rPr>
          <w:rFonts w:ascii="Times New Roman" w:hAnsi="Times New Roman" w:cs="Times New Roman"/>
          <w:color w:val="auto"/>
          <w:sz w:val="24"/>
          <w:szCs w:val="24"/>
        </w:rPr>
        <w:t xml:space="preserve">Barth (2000) </w:t>
      </w:r>
      <w:r>
        <w:rPr>
          <w:rFonts w:ascii="Times New Roman" w:hAnsi="Times New Roman" w:cs="Times New Roman"/>
          <w:color w:val="auto"/>
          <w:sz w:val="24"/>
          <w:szCs w:val="24"/>
        </w:rPr>
        <w:t xml:space="preserve">quando </w:t>
      </w:r>
      <w:r w:rsidRPr="00102124">
        <w:rPr>
          <w:rFonts w:ascii="Times New Roman" w:hAnsi="Times New Roman" w:cs="Times New Roman"/>
          <w:color w:val="auto"/>
          <w:sz w:val="24"/>
          <w:szCs w:val="24"/>
        </w:rPr>
        <w:t>conceitua os grupos étnicos como populações que se auto perpetuam biologicamente, compartilhando valores culturais semelhantes, e que interagem e comunicam-se mutuamente, identificando-se e sendo identificados como parte do grupo.</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Referente a composição étnica no processo de ocupação dos entornos das Bacias Hidrográficas Taquari-Antas e Caí, o protagonismo de indígenas, negros escravizados e imigrantes, propiciaram a formação de um ambiente multicultural intensamente heterogêneo, marcado por encontros e desencontros culturais, tendo em vista que cada um destes grupos étnicos, procurava manter seus elementos culturais. Conforme Correa (2006), o processo que deu sequência às relações interculturais neste espaço comum, agiu de forma a instituir uma cultura padrão que servisse de exemplo às demais, homogeneizando – à longo prazo, as minorias étnicas.</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Segundo Laraia (2003), os sistemas culturais estão em constante processo de mudança, e os contatos interétnicos são fatores que instigam transformações mais bruscas dentro de um grupo social. Neste sentido, estas mudanças assumem um caráter acumulativo, conservando-se antigas práticas apesar da aquisição de novas. </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Da mesma forma, a continuidade das práticas culturais dos referidos grupos requereu uma adaptação cultural em relação </w:t>
      </w:r>
      <w:r>
        <w:rPr>
          <w:rFonts w:ascii="Times New Roman" w:hAnsi="Times New Roman" w:cs="Times New Roman"/>
          <w:color w:val="auto"/>
          <w:sz w:val="24"/>
          <w:szCs w:val="24"/>
        </w:rPr>
        <w:t xml:space="preserve">ao </w:t>
      </w:r>
      <w:r w:rsidRPr="00102124">
        <w:rPr>
          <w:rFonts w:ascii="Times New Roman" w:hAnsi="Times New Roman" w:cs="Times New Roman"/>
          <w:color w:val="auto"/>
          <w:sz w:val="24"/>
          <w:szCs w:val="24"/>
        </w:rPr>
        <w:t xml:space="preserve">meio que os circundava, assim, podemos dizer que os colonos, além de colonizadores, eram colonizados pelas novas terras </w:t>
      </w:r>
      <w:r>
        <w:rPr>
          <w:rFonts w:ascii="Times New Roman" w:hAnsi="Times New Roman" w:cs="Times New Roman"/>
          <w:color w:val="auto"/>
          <w:sz w:val="24"/>
          <w:szCs w:val="24"/>
        </w:rPr>
        <w:t>e pelas práticas ali existentes</w:t>
      </w:r>
      <w:r w:rsidRPr="00102124">
        <w:rPr>
          <w:rFonts w:ascii="Times New Roman" w:hAnsi="Times New Roman" w:cs="Times New Roman"/>
          <w:color w:val="auto"/>
          <w:sz w:val="24"/>
          <w:szCs w:val="24"/>
        </w:rPr>
        <w:t xml:space="preserve"> e já difundidas. Laraia (2003) chama a atenção que este processo é possível mediante a troca do equipamento cultural pelo desenvolvido no novo habitat, e neste sentido, suas ações estarão limitadas ao material cultural ali fornecido.</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intenção do estudo é analisar as relações interénticas entre indígenas Kaingang, tradicionais ocupantes do território em questão, e os imigrantes holandeses, generalizadamente considerados como alemães, provenientes do segundo período da imigração alemã (1848-1874). Em vista disto vale salientar que apesar da especificidade étnica, ambos os grupos se movimentaram em um espaço comum, mantendo e compartilhando relações – conflituosas ou não, em fase de intensas mudanças no sul brasileiro.</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Conforme Becker (1995), os espaços entre o planalto sul-rio-grandense e as Bacias Hidrográficas Taquari-Antas e Caí, eram tradicionais territórios de populações indígenas com predominância da tradição arqueológica Taquara ou Proto Jê, conforme demonstram estudos mais recentes (Wolf, 2016). O grupo étnico Kaingang, pertence ao Grupo Jê Meridional e, conforme Laroque (2009), o tradicional território estendim-se desde o oeste da Província de São Paulo, norte e oeste da Província do Paraná, oeste da Província de Santa Catarina até ambas as margens da Bacia Hidrográfica do Jacuí e Lago Guaíba na Província de São Pedro do Rio Grande do Sul, mas também, estendendo-se para território de Misiones na Argentina. </w:t>
      </w:r>
    </w:p>
    <w:p w:rsidR="00C755CD" w:rsidRPr="00102124" w:rsidRDefault="00C755CD" w:rsidP="00090CA1">
      <w:pPr>
        <w:pStyle w:val="Normal1"/>
        <w:spacing w:before="28" w:after="198" w:line="360" w:lineRule="auto"/>
        <w:ind w:firstLine="720"/>
        <w:jc w:val="both"/>
        <w:rPr>
          <w:rFonts w:ascii="Times New Roman" w:hAnsi="Times New Roman" w:cs="Times New Roman"/>
          <w:color w:val="auto"/>
          <w:sz w:val="20"/>
          <w:szCs w:val="20"/>
        </w:rPr>
      </w:pPr>
      <w:r w:rsidRPr="00102124">
        <w:rPr>
          <w:rFonts w:ascii="Times New Roman" w:hAnsi="Times New Roman" w:cs="Times New Roman"/>
          <w:color w:val="auto"/>
          <w:sz w:val="24"/>
          <w:szCs w:val="24"/>
        </w:rPr>
        <w:t>Deve-se ressaltar que no século XIX, estas extensões formavam um amplo território, e apesar de serem separados por cursos d’água, tais como bacias e rios, as parcialidades Kaingang eram interligadas por laços de familiaridade e reciprocidade. Da mesma forma, o referido grupo possuía uma interação bastante íntima com o meio/natureza, o qual além de garantir a subsistência, assegurava a continuidade de suas práticas culturais.</w:t>
      </w:r>
    </w:p>
    <w:p w:rsidR="00C755CD" w:rsidRPr="00102124" w:rsidRDefault="00C755CD" w:rsidP="00090CA1">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Esta concepção cultural e territorial entraria em choque com o modelo de jurisdição do Império brasileiro, que possuía uma tendência exploratória e considerava as extensões territoriais como pertencentes ao Estado, podendo, portanto, serem utilizadas para o projeto colonizador privado. Sendo assim, as relações entre indígenas Kaingang e imigrantes europeus foram estabelecidas a partir do momento e</w:t>
      </w:r>
      <w:r>
        <w:rPr>
          <w:rFonts w:ascii="Times New Roman" w:hAnsi="Times New Roman" w:cs="Times New Roman"/>
          <w:color w:val="auto"/>
          <w:sz w:val="24"/>
          <w:szCs w:val="24"/>
        </w:rPr>
        <w:t>m que o Governo Imperial passou</w:t>
      </w:r>
      <w:r w:rsidRPr="00102124">
        <w:rPr>
          <w:rFonts w:ascii="Times New Roman" w:hAnsi="Times New Roman" w:cs="Times New Roman"/>
          <w:color w:val="auto"/>
          <w:sz w:val="24"/>
          <w:szCs w:val="24"/>
        </w:rPr>
        <w:t xml:space="preserve"> a organizar frentes de expansão em direção às matas – até então consideradas como vazias – na intenção de povoar o território e torná-lo mais rentável. Nesta situação, os imigrantes holandeses aparecem como integrantes destas frentes de expansão, envolvendo-se em uma teia de relações com o “outro”.</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presença holandesa no Brasil, grosso modo, é associada às invasões holandesas do século XVI, no momento em que era disputado o control</w:t>
      </w:r>
      <w:r>
        <w:rPr>
          <w:rFonts w:ascii="Times New Roman" w:hAnsi="Times New Roman" w:cs="Times New Roman"/>
          <w:color w:val="auto"/>
          <w:sz w:val="24"/>
          <w:szCs w:val="24"/>
        </w:rPr>
        <w:t>e do açúcar, mas este não foi o</w:t>
      </w:r>
      <w:r w:rsidRPr="00102124">
        <w:rPr>
          <w:rFonts w:ascii="Times New Roman" w:hAnsi="Times New Roman" w:cs="Times New Roman"/>
          <w:color w:val="auto"/>
          <w:sz w:val="24"/>
          <w:szCs w:val="24"/>
        </w:rPr>
        <w:t xml:space="preserve"> último momento</w:t>
      </w:r>
      <w:r w:rsidRPr="00102124">
        <w:rPr>
          <w:rStyle w:val="FootnoteReference"/>
          <w:rFonts w:ascii="Times New Roman" w:hAnsi="Times New Roman" w:cs="Times New Roman"/>
          <w:color w:val="auto"/>
          <w:sz w:val="24"/>
          <w:szCs w:val="24"/>
        </w:rPr>
        <w:footnoteReference w:id="7"/>
      </w:r>
      <w:r w:rsidRPr="00102124">
        <w:rPr>
          <w:rFonts w:ascii="Times New Roman" w:hAnsi="Times New Roman" w:cs="Times New Roman"/>
          <w:color w:val="auto"/>
          <w:sz w:val="24"/>
          <w:szCs w:val="24"/>
        </w:rPr>
        <w:t xml:space="preserve"> em que estes</w:t>
      </w:r>
      <w:r>
        <w:rPr>
          <w:rFonts w:ascii="Times New Roman" w:hAnsi="Times New Roman" w:cs="Times New Roman"/>
          <w:color w:val="auto"/>
          <w:sz w:val="24"/>
          <w:szCs w:val="24"/>
        </w:rPr>
        <w:t xml:space="preserve"> estiveram em terras brasileiras</w:t>
      </w:r>
      <w:r w:rsidRPr="00102124">
        <w:rPr>
          <w:rFonts w:ascii="Times New Roman" w:hAnsi="Times New Roman" w:cs="Times New Roman"/>
          <w:color w:val="auto"/>
          <w:sz w:val="24"/>
          <w:szCs w:val="24"/>
        </w:rPr>
        <w:t xml:space="preserve">. </w:t>
      </w:r>
      <w:r>
        <w:rPr>
          <w:rFonts w:ascii="Times New Roman" w:hAnsi="Times New Roman" w:cs="Times New Roman"/>
          <w:color w:val="auto"/>
          <w:sz w:val="24"/>
          <w:szCs w:val="24"/>
        </w:rPr>
        <w:t>A partir da presente análise, é possível</w:t>
      </w:r>
      <w:r w:rsidRPr="00102124">
        <w:rPr>
          <w:rFonts w:ascii="Times New Roman" w:hAnsi="Times New Roman" w:cs="Times New Roman"/>
          <w:color w:val="auto"/>
          <w:sz w:val="24"/>
          <w:szCs w:val="24"/>
        </w:rPr>
        <w:t xml:space="preserve"> evidenciar uma presença holandesa significativa no século XIX – na forma de imigrantes, cuja fase histórica está esfumaçada e generalizada sob a periodização conhecida como “imigração alemã”.</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introdução de holandeses ao Brasil esteve ligada ao já mencionado projeto de desenvolvimento do Estado Nacional Brasileiro, tendo sido recrutados por diversos agentes colonizadores na Europa a partir da segunda metade da década de 1850, com o intuito de povoar as colônias recém-criadas no Brasil, nas Províncias de Espírito Santo, Santa Catarina e Rio Grande do Sul. Sobre isto, Roos e Eshuis (2008) atestam que, mais precisamente entre os anos de 1858 e 1862, mais de 700 holandeses teriam emigrado para o Brasil.</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Com base em registros de entrada destes imigrantes, e dos acentos de batismos, casamentos e óbitos oriundos das entidades eclesiástic</w:t>
      </w:r>
      <w:r>
        <w:rPr>
          <w:rFonts w:ascii="Times New Roman" w:hAnsi="Times New Roman" w:cs="Times New Roman"/>
          <w:color w:val="auto"/>
          <w:sz w:val="24"/>
          <w:szCs w:val="24"/>
        </w:rPr>
        <w:t>as e cartórios das comunidades d</w:t>
      </w:r>
      <w:r w:rsidRPr="00102124">
        <w:rPr>
          <w:rFonts w:ascii="Times New Roman" w:hAnsi="Times New Roman" w:cs="Times New Roman"/>
          <w:color w:val="auto"/>
          <w:sz w:val="24"/>
          <w:szCs w:val="24"/>
        </w:rPr>
        <w:t>as quais pertenciam, foi possível constatar que, a maior parte dos imigrantes que foram destinados à Província de São Pedro do Rio Grande do Sul eram oriundos das Províncias holandesas de Gelderland e Zeeland.</w:t>
      </w: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exemplo dos registros eclesiásticos, tem-se o acento de casamento do imigrante holandês Christian te Roller, proveniente da Comunidade Evangélica (IECLB) de São Vendelino, Rio Grande do Sul. O registro escrito no idioma alemão e datado do ano de 1876, evidencia a nacionalidade holandesa do nubente, nascido em Eibergen, na província de Gelderland, conforme segue:</w:t>
      </w:r>
    </w:p>
    <w:p w:rsidR="00C755CD" w:rsidRPr="00102124" w:rsidRDefault="00C755CD" w:rsidP="00267725">
      <w:pPr>
        <w:keepNext w:val="0"/>
        <w:widowControl/>
        <w:shd w:val="clear" w:color="auto" w:fill="FFFFFF"/>
        <w:spacing w:after="0" w:line="240" w:lineRule="auto"/>
        <w:ind w:left="1701"/>
        <w:jc w:val="both"/>
        <w:rPr>
          <w:rFonts w:ascii="Times New Roman" w:hAnsi="Times New Roman" w:cs="Times New Roman"/>
          <w:color w:val="auto"/>
          <w:sz w:val="20"/>
          <w:szCs w:val="20"/>
          <w:lang w:val="de-DE"/>
        </w:rPr>
      </w:pPr>
      <w:r w:rsidRPr="00102124">
        <w:rPr>
          <w:rFonts w:ascii="Arial" w:hAnsi="Arial" w:cs="Arial"/>
          <w:color w:val="auto"/>
          <w:sz w:val="19"/>
          <w:szCs w:val="19"/>
          <w:lang w:val="de-DE"/>
        </w:rPr>
        <w:br/>
      </w:r>
      <w:r w:rsidRPr="00102124">
        <w:rPr>
          <w:rFonts w:ascii="Times New Roman" w:hAnsi="Times New Roman" w:cs="Times New Roman"/>
          <w:color w:val="auto"/>
          <w:sz w:val="20"/>
          <w:szCs w:val="20"/>
          <w:lang w:val="de-DE"/>
        </w:rPr>
        <w:t xml:space="preserve">CHRISTIAN TE ROLLER, Sohn des Heinrich Te Roller aus </w:t>
      </w:r>
      <w:r w:rsidRPr="00102124">
        <w:rPr>
          <w:rFonts w:ascii="Times New Roman" w:hAnsi="Times New Roman" w:cs="Times New Roman"/>
          <w:b/>
          <w:bCs/>
          <w:color w:val="auto"/>
          <w:sz w:val="20"/>
          <w:szCs w:val="20"/>
          <w:lang w:val="de-DE"/>
        </w:rPr>
        <w:t>Eibergen, Holland</w:t>
      </w:r>
      <w:r w:rsidRPr="00102124">
        <w:rPr>
          <w:rFonts w:ascii="Times New Roman" w:hAnsi="Times New Roman" w:cs="Times New Roman"/>
          <w:color w:val="auto"/>
          <w:sz w:val="20"/>
          <w:szCs w:val="20"/>
          <w:lang w:val="de-DE"/>
        </w:rPr>
        <w:t>, und Henricka geb. Abenk, von da mit CATHARINA TAFFE, Tochter des Carl Taffe, aus Hessen, und Philippine geb. Haas, werden am heutigen Tage, dem (18) achtzehnten April (1876) achtzehnhundertsechs und siebzig nach dreimaligem Aufgebot getraut (IECLB São Vendelino, Casamentos (1862-1964), Nº 13, p. 341, grifos nossos)</w:t>
      </w:r>
      <w:r w:rsidRPr="00102124">
        <w:rPr>
          <w:rStyle w:val="FootnoteReference"/>
          <w:rFonts w:ascii="Times New Roman" w:hAnsi="Times New Roman" w:cs="Times New Roman"/>
          <w:color w:val="auto"/>
          <w:sz w:val="20"/>
          <w:szCs w:val="20"/>
          <w:lang w:val="de-DE"/>
        </w:rPr>
        <w:footnoteReference w:id="8"/>
      </w:r>
      <w:r w:rsidRPr="00102124">
        <w:rPr>
          <w:rFonts w:ascii="Times New Roman" w:hAnsi="Times New Roman" w:cs="Times New Roman"/>
          <w:color w:val="auto"/>
          <w:sz w:val="20"/>
          <w:szCs w:val="20"/>
          <w:lang w:val="de-DE"/>
        </w:rPr>
        <w:t>.</w:t>
      </w:r>
    </w:p>
    <w:p w:rsidR="00C755CD" w:rsidRPr="00102124" w:rsidRDefault="00C755CD" w:rsidP="00267725">
      <w:pPr>
        <w:keepNext w:val="0"/>
        <w:widowControl/>
        <w:spacing w:after="0" w:line="240" w:lineRule="auto"/>
        <w:rPr>
          <w:rFonts w:ascii="Times New Roman" w:hAnsi="Times New Roman" w:cs="Times New Roman"/>
          <w:color w:val="auto"/>
          <w:sz w:val="20"/>
          <w:szCs w:val="20"/>
          <w:shd w:val="clear" w:color="auto" w:fill="FFFFFF"/>
          <w:lang w:val="de-DE"/>
        </w:rPr>
      </w:pPr>
    </w:p>
    <w:p w:rsidR="00C755CD" w:rsidRPr="00102124" w:rsidRDefault="00C755CD" w:rsidP="00090CA1">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Na Província de São Pedro do Rio Grande do Sul, os holandeses foram instalados</w:t>
      </w:r>
      <w:r>
        <w:rPr>
          <w:rFonts w:ascii="Times New Roman" w:hAnsi="Times New Roman" w:cs="Times New Roman"/>
          <w:color w:val="auto"/>
          <w:sz w:val="24"/>
          <w:szCs w:val="24"/>
        </w:rPr>
        <w:t xml:space="preserve"> com maior expressividade</w:t>
      </w:r>
      <w:r w:rsidRPr="00102124">
        <w:rPr>
          <w:rFonts w:ascii="Times New Roman" w:hAnsi="Times New Roman" w:cs="Times New Roman"/>
          <w:color w:val="auto"/>
          <w:sz w:val="24"/>
          <w:szCs w:val="24"/>
        </w:rPr>
        <w:t xml:space="preserve"> nas colônias</w:t>
      </w:r>
      <w:r w:rsidRPr="00102124">
        <w:rPr>
          <w:rStyle w:val="FootnoteReference"/>
          <w:rFonts w:ascii="Times New Roman" w:hAnsi="Times New Roman" w:cs="Times New Roman"/>
          <w:color w:val="auto"/>
          <w:sz w:val="24"/>
          <w:szCs w:val="24"/>
        </w:rPr>
        <w:footnoteReference w:id="9"/>
      </w:r>
      <w:r w:rsidRPr="00102124">
        <w:rPr>
          <w:rFonts w:ascii="Times New Roman" w:hAnsi="Times New Roman" w:cs="Times New Roman"/>
          <w:color w:val="auto"/>
          <w:sz w:val="24"/>
          <w:szCs w:val="24"/>
        </w:rPr>
        <w:t xml:space="preserve"> recém-formadas de Santa Cruz (1849), Santa Maria da Soledade (1855), Santo Ângelo (1857) e Nova Petrópolis (1858), duas destas, localizadas nas delimitações da Bacia Hidrográfica do Caí. </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No final do século XIX, ou seja, entre as décadas de 1880 e 1890, notou-se na documentação manuseada, que estes imigrantes promoveram migrações internas, ocupando uma série de municípios que atualmente correspondem às delimitações da Bacia Hidrográfica Taquari-Antas, acompanhando o avanço do excedente populacional das primeiras colônias, cuja fronteira agrária, conforme Christillino (2004), se direcionava a região atualmente denominada de Vale do Taquari.</w:t>
      </w:r>
    </w:p>
    <w:p w:rsidR="00C755CD" w:rsidRPr="00102124" w:rsidRDefault="00C755CD" w:rsidP="00267725">
      <w:pPr>
        <w:pStyle w:val="Normal1"/>
        <w:keepNext w:val="0"/>
        <w:spacing w:before="28" w:after="198" w:line="240" w:lineRule="auto"/>
        <w:jc w:val="both"/>
        <w:rPr>
          <w:rFonts w:ascii="Times New Roman" w:hAnsi="Times New Roman" w:cs="Times New Roman"/>
          <w:b/>
          <w:bCs/>
          <w:color w:val="auto"/>
          <w:sz w:val="24"/>
          <w:szCs w:val="24"/>
        </w:rPr>
      </w:pPr>
      <w:r w:rsidRPr="00102124">
        <w:rPr>
          <w:rFonts w:ascii="Times New Roman" w:hAnsi="Times New Roman" w:cs="Times New Roman"/>
          <w:b/>
          <w:bCs/>
          <w:color w:val="auto"/>
          <w:sz w:val="24"/>
          <w:szCs w:val="24"/>
        </w:rPr>
        <w:t>3 ÀS MARGENS DO RIO CAÍ: A EFÊMERA COLÔNIA DE SANTA MARIA DA SOLEDADE</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“imigração alemã” para o sul do Brasil teve início após a independência do Brasil, sendo associada essencialmente à ocupação de terras “devolutas”</w:t>
      </w:r>
      <w:r w:rsidRPr="00102124">
        <w:rPr>
          <w:rStyle w:val="FootnoteReference"/>
          <w:rFonts w:ascii="Times New Roman" w:hAnsi="Times New Roman" w:cs="Times New Roman"/>
          <w:color w:val="auto"/>
          <w:sz w:val="24"/>
          <w:szCs w:val="24"/>
        </w:rPr>
        <w:footnoteReference w:id="10"/>
      </w:r>
      <w:r w:rsidRPr="00102124">
        <w:rPr>
          <w:rFonts w:ascii="Times New Roman" w:hAnsi="Times New Roman" w:cs="Times New Roman"/>
          <w:color w:val="auto"/>
          <w:sz w:val="24"/>
          <w:szCs w:val="24"/>
        </w:rPr>
        <w:t xml:space="preserve"> através da colonização. Roche (1969) dividiu esta fase de imigrações em três períodos durante a jurisdição imperial: 1824-1847, 1848-1874 e 1874-1889.</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Inicialmente, a imigração foi de caráter oficial, tendo o Governo Brasileiro atraído os colonos europeus mediante a promessa de inúmeras vantagens. Nestas condições, competia ao Império organizar o recrutamento</w:t>
      </w:r>
      <w:r w:rsidRPr="00102124">
        <w:rPr>
          <w:rStyle w:val="FootnoteReference"/>
          <w:rFonts w:ascii="Times New Roman" w:hAnsi="Times New Roman" w:cs="Times New Roman"/>
          <w:color w:val="auto"/>
          <w:sz w:val="24"/>
          <w:szCs w:val="24"/>
        </w:rPr>
        <w:footnoteReference w:id="11"/>
      </w:r>
      <w:r w:rsidRPr="00102124">
        <w:rPr>
          <w:rFonts w:ascii="Times New Roman" w:hAnsi="Times New Roman" w:cs="Times New Roman"/>
          <w:color w:val="auto"/>
          <w:sz w:val="24"/>
          <w:szCs w:val="24"/>
        </w:rPr>
        <w:t xml:space="preserve"> de colonos na Europa, cobrir a viagem, garantir a liberdade de culto, conceder terras e mantê-los, pelo menos no período inicial. A partir de 1830 a imigração foi interrompida, e retomada após 1845, mediante a pacificação da Província de São Pedro do Rio Grande do Sul, longamente atormentada por uma crise política.</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No segundo período da imigração entrou em vigor a lei geral de 18 de setembro de 1850</w:t>
      </w:r>
      <w:r w:rsidRPr="00102124">
        <w:rPr>
          <w:rStyle w:val="FootnoteReference"/>
          <w:rFonts w:ascii="Times New Roman" w:hAnsi="Times New Roman" w:cs="Times New Roman"/>
          <w:color w:val="auto"/>
          <w:sz w:val="24"/>
          <w:szCs w:val="24"/>
        </w:rPr>
        <w:footnoteReference w:id="12"/>
      </w:r>
      <w:r w:rsidRPr="00102124">
        <w:rPr>
          <w:rFonts w:ascii="Times New Roman" w:hAnsi="Times New Roman" w:cs="Times New Roman"/>
          <w:color w:val="auto"/>
          <w:sz w:val="24"/>
          <w:szCs w:val="24"/>
        </w:rPr>
        <w:t>, que regulamentava a aquisição de terras devolutas, possibilitando a fundação de numerosas colônias particulares. O principal sistema que vigorou para se fazer o recrutamen</w:t>
      </w:r>
      <w:r>
        <w:rPr>
          <w:rFonts w:ascii="Times New Roman" w:hAnsi="Times New Roman" w:cs="Times New Roman"/>
          <w:color w:val="auto"/>
          <w:sz w:val="24"/>
          <w:szCs w:val="24"/>
        </w:rPr>
        <w:t>to de colonos neste período foi</w:t>
      </w:r>
      <w:r w:rsidRPr="00102124">
        <w:rPr>
          <w:rFonts w:ascii="Times New Roman" w:hAnsi="Times New Roman" w:cs="Times New Roman"/>
          <w:color w:val="auto"/>
          <w:sz w:val="24"/>
          <w:szCs w:val="24"/>
        </w:rPr>
        <w:t xml:space="preserve"> o contrato, que introduziu levas significativas de imigrantes para as colônias em formação.</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A instalação destas colônias colaborava com o plano expansionista do Governo da época, </w:t>
      </w:r>
      <w:r>
        <w:rPr>
          <w:rFonts w:ascii="Times New Roman" w:hAnsi="Times New Roman" w:cs="Times New Roman"/>
          <w:color w:val="auto"/>
          <w:sz w:val="24"/>
          <w:szCs w:val="24"/>
        </w:rPr>
        <w:t>n</w:t>
      </w:r>
      <w:r w:rsidRPr="00102124">
        <w:rPr>
          <w:rFonts w:ascii="Times New Roman" w:hAnsi="Times New Roman" w:cs="Times New Roman"/>
          <w:color w:val="auto"/>
          <w:sz w:val="24"/>
          <w:szCs w:val="24"/>
        </w:rPr>
        <w:t xml:space="preserve">as quais </w:t>
      </w:r>
      <w:r>
        <w:rPr>
          <w:rFonts w:ascii="Times New Roman" w:hAnsi="Times New Roman" w:cs="Times New Roman"/>
          <w:color w:val="auto"/>
          <w:sz w:val="24"/>
          <w:szCs w:val="24"/>
        </w:rPr>
        <w:t>se desenvolvia</w:t>
      </w:r>
      <w:r w:rsidRPr="00102124">
        <w:rPr>
          <w:rFonts w:ascii="Times New Roman" w:hAnsi="Times New Roman" w:cs="Times New Roman"/>
          <w:color w:val="auto"/>
          <w:sz w:val="24"/>
          <w:szCs w:val="24"/>
        </w:rPr>
        <w:t xml:space="preserve"> uma cultura </w:t>
      </w:r>
      <w:r>
        <w:rPr>
          <w:rFonts w:ascii="Times New Roman" w:hAnsi="Times New Roman" w:cs="Times New Roman"/>
          <w:color w:val="auto"/>
          <w:sz w:val="24"/>
          <w:szCs w:val="24"/>
        </w:rPr>
        <w:t>de subsistência e limitavam-se a</w:t>
      </w:r>
      <w:r w:rsidRPr="00102124">
        <w:rPr>
          <w:rFonts w:ascii="Times New Roman" w:hAnsi="Times New Roman" w:cs="Times New Roman"/>
          <w:color w:val="auto"/>
          <w:sz w:val="24"/>
          <w:szCs w:val="24"/>
        </w:rPr>
        <w:t xml:space="preserve"> mínima intervenção externa. Da mesma forma, a </w:t>
      </w:r>
      <w:r>
        <w:rPr>
          <w:rFonts w:ascii="Times New Roman" w:hAnsi="Times New Roman" w:cs="Times New Roman"/>
          <w:color w:val="auto"/>
          <w:sz w:val="24"/>
          <w:szCs w:val="24"/>
        </w:rPr>
        <w:t>fundação de colônias favorecia a</w:t>
      </w:r>
      <w:r w:rsidRPr="00102124">
        <w:rPr>
          <w:rFonts w:ascii="Times New Roman" w:hAnsi="Times New Roman" w:cs="Times New Roman"/>
          <w:color w:val="auto"/>
          <w:sz w:val="24"/>
          <w:szCs w:val="24"/>
        </w:rPr>
        <w:t xml:space="preserve"> abertura de estradas, as quais futuramente seriam úteis para o deslocamento do excedente. Neste sentido, as primeiras colônias foram instituídas através da iniciativa imperial, originando colônias de caráter oficial, e em segundo momento, ficaram a cargo da Província em parceria com a iniciativa privada, fundando colônias particulares.</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Segundo madame Marie van Langendonck</w:t>
      </w:r>
      <w:r w:rsidRPr="00102124">
        <w:rPr>
          <w:rStyle w:val="FootnoteReference"/>
          <w:rFonts w:ascii="Times New Roman" w:hAnsi="Times New Roman" w:cs="Times New Roman"/>
          <w:color w:val="auto"/>
          <w:sz w:val="24"/>
          <w:szCs w:val="24"/>
        </w:rPr>
        <w:footnoteReference w:id="13"/>
      </w:r>
      <w:r w:rsidRPr="00102124">
        <w:rPr>
          <w:rFonts w:ascii="Times New Roman" w:hAnsi="Times New Roman" w:cs="Times New Roman"/>
          <w:color w:val="auto"/>
          <w:sz w:val="24"/>
          <w:szCs w:val="24"/>
        </w:rPr>
        <w:t xml:space="preserve"> ([1862] 2002), a Colônia de Santa Maria da Soledade foi fundada após o governo imperial conceder uma extensão de terras às margens do rio Caí</w:t>
      </w:r>
      <w:r w:rsidRPr="00102124">
        <w:rPr>
          <w:rStyle w:val="FootnoteReference"/>
          <w:rFonts w:ascii="Times New Roman" w:hAnsi="Times New Roman" w:cs="Times New Roman"/>
          <w:color w:val="auto"/>
          <w:sz w:val="24"/>
          <w:szCs w:val="24"/>
        </w:rPr>
        <w:footnoteReference w:id="14"/>
      </w:r>
      <w:r w:rsidRPr="00102124">
        <w:rPr>
          <w:rFonts w:ascii="Times New Roman" w:hAnsi="Times New Roman" w:cs="Times New Roman"/>
          <w:color w:val="auto"/>
          <w:sz w:val="24"/>
          <w:szCs w:val="24"/>
        </w:rPr>
        <w:t xml:space="preserve"> conforme mapa (Figura 1), ao vice-cônsul da França em Porto Alegre, o conde Paulo de Montravel. De acordo com o contrato</w:t>
      </w:r>
      <w:r w:rsidRPr="00102124">
        <w:rPr>
          <w:rStyle w:val="FootnoteReference"/>
          <w:rFonts w:ascii="Times New Roman" w:hAnsi="Times New Roman" w:cs="Times New Roman"/>
          <w:color w:val="auto"/>
          <w:sz w:val="24"/>
          <w:szCs w:val="24"/>
        </w:rPr>
        <w:footnoteReference w:id="15"/>
      </w:r>
      <w:r w:rsidRPr="00102124">
        <w:rPr>
          <w:rFonts w:ascii="Times New Roman" w:hAnsi="Times New Roman" w:cs="Times New Roman"/>
          <w:color w:val="auto"/>
          <w:sz w:val="24"/>
          <w:szCs w:val="24"/>
        </w:rPr>
        <w:t xml:space="preserve"> celebrado entre o Império e o referido Paulo de Montravel, este último solicitou a compra de uma área de terras “nas vizinhanças do rio Cahy” em 1854 com a finalidade de introduzir colonos suíços e católicos no período de três anos. </w:t>
      </w:r>
    </w:p>
    <w:p w:rsidR="00C755CD" w:rsidRPr="00102124" w:rsidRDefault="00C755CD" w:rsidP="00795AB8">
      <w:pPr>
        <w:pStyle w:val="Normal1"/>
        <w:keepNext w:val="0"/>
        <w:spacing w:before="28" w:after="198" w:line="24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Figura 1: Mapa da Colônia no Vale do rio Caí - século XIX</w:t>
      </w:r>
    </w:p>
    <w:p w:rsidR="00C755CD" w:rsidRPr="00102124" w:rsidRDefault="00C755CD" w:rsidP="008973D0">
      <w:pPr>
        <w:pStyle w:val="Normal1"/>
        <w:keepNext w:val="0"/>
        <w:spacing w:before="28" w:after="198" w:line="240" w:lineRule="auto"/>
        <w:ind w:firstLine="720"/>
        <w:jc w:val="center"/>
        <w:rPr>
          <w:rFonts w:ascii="Times New Roman" w:hAnsi="Times New Roman" w:cs="Times New Roman"/>
          <w:color w:val="auto"/>
          <w:sz w:val="24"/>
          <w:szCs w:val="24"/>
        </w:rPr>
      </w:pPr>
      <w:r w:rsidRPr="00641D5F">
        <w:rPr>
          <w:rFonts w:ascii="Times New Roman" w:hAnsi="Times New Roman" w:cs="Times New Roman"/>
          <w:color w:val="auto"/>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56.5pt">
            <v:imagedata r:id="rId7" o:title=""/>
          </v:shape>
        </w:pict>
      </w:r>
    </w:p>
    <w:p w:rsidR="00C755CD" w:rsidRPr="00102124" w:rsidRDefault="00C755CD" w:rsidP="00795AB8">
      <w:pPr>
        <w:pStyle w:val="Normal1"/>
        <w:keepNext w:val="0"/>
        <w:spacing w:before="28" w:after="198"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102124">
        <w:rPr>
          <w:rFonts w:ascii="Times New Roman" w:hAnsi="Times New Roman" w:cs="Times New Roman"/>
          <w:color w:val="auto"/>
          <w:sz w:val="24"/>
          <w:szCs w:val="24"/>
        </w:rPr>
        <w:t>Fonte: Amstad (1924, p. 113).</w:t>
      </w:r>
    </w:p>
    <w:p w:rsidR="00C755CD" w:rsidRPr="00102124" w:rsidRDefault="00C755CD" w:rsidP="00795AB8">
      <w:pPr>
        <w:pStyle w:val="Normal1"/>
        <w:keepNext w:val="0"/>
        <w:spacing w:before="28" w:after="198" w:line="240" w:lineRule="auto"/>
        <w:ind w:firstLine="720"/>
        <w:jc w:val="both"/>
        <w:rPr>
          <w:rFonts w:ascii="Times New Roman" w:hAnsi="Times New Roman" w:cs="Times New Roman"/>
          <w:color w:val="auto"/>
          <w:sz w:val="24"/>
          <w:szCs w:val="24"/>
        </w:rPr>
      </w:pP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Comprometido com o Imperador do Brasil a colonizar as referidas terras, Montravel passou a introduzir colonos europeus, conforme relata a viajante belga acerca de sua chegada nas ditas extensões: “Éramos a terceira família que vinha habitar as quatro léguas quadradas que a Sociedade Montravel era obrigada a povoar em um dado tempo” (LANGENDONCK, 2002, p. 51).</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Sobre o cotidiano dos primeiros colonos e sua relação com o meio, temos também os relatos atinentes à família Langedonck:</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Nesse meio tempo, nossa cabana tinha sido concluída, mas estava construída no meio da colônia, e como o primeiro transporte de emigrantes tinha entrado em posse de terrenos afastados, estávamos sempre muito isolados. Apenas o terreno da frente da casa estava desmatado, a parte de trás ficava apenas alguns metros da floresta (LANGENDONCK, 2002, p. 76).</w:t>
      </w:r>
    </w:p>
    <w:p w:rsidR="00C755CD" w:rsidRPr="00102124" w:rsidRDefault="00C755CD" w:rsidP="00762855">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Na incapacidade de introduzir os colonos no prazo estipulado, o empreendedor Montravel fora obrigado a modificar o contrato reiteradas vezes. A exemplo disto, no contrato</w:t>
      </w:r>
      <w:r w:rsidRPr="00102124">
        <w:rPr>
          <w:rStyle w:val="FootnoteReference"/>
          <w:rFonts w:ascii="Times New Roman" w:hAnsi="Times New Roman" w:cs="Times New Roman"/>
          <w:color w:val="auto"/>
          <w:sz w:val="24"/>
          <w:szCs w:val="24"/>
        </w:rPr>
        <w:footnoteReference w:id="16"/>
      </w:r>
      <w:r w:rsidRPr="00102124">
        <w:rPr>
          <w:rFonts w:ascii="Times New Roman" w:hAnsi="Times New Roman" w:cs="Times New Roman"/>
          <w:color w:val="auto"/>
          <w:sz w:val="24"/>
          <w:szCs w:val="24"/>
        </w:rPr>
        <w:t xml:space="preserve"> celebrado entre o Governo Imperial e o Conde de Montravel em 06/02/1855, o prazo para introdução dos colonos foi estendido para cinco anos, bem como, não fora delimitada a origem étnica do imigrantes, exigindo somente, que os colonos importados fossem “lavradores e gente do campo”. </w:t>
      </w:r>
    </w:p>
    <w:p w:rsidR="00C755CD" w:rsidRPr="00102124" w:rsidRDefault="00C755CD" w:rsidP="00762855">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Em resposta às dificuldades, Montravel fundou a empresa de colonização Montravel, Silveira e Cia, com escritório na Antuérpia. A sociedade havia sido instituída através da associação com três sócios: Dr. Israel Soares de Barcellos, Dr. Dionísio de Oliveira Silveiro e João Coelho Barreto. A partir do Códice 313</w:t>
      </w:r>
      <w:r w:rsidRPr="00102124">
        <w:rPr>
          <w:rStyle w:val="FootnoteReference"/>
          <w:rFonts w:ascii="Times New Roman" w:hAnsi="Times New Roman" w:cs="Times New Roman"/>
          <w:color w:val="auto"/>
          <w:sz w:val="24"/>
          <w:szCs w:val="24"/>
        </w:rPr>
        <w:footnoteReference w:id="17"/>
      </w:r>
      <w:r w:rsidRPr="00102124">
        <w:rPr>
          <w:rFonts w:ascii="Times New Roman" w:hAnsi="Times New Roman" w:cs="Times New Roman"/>
          <w:color w:val="auto"/>
          <w:sz w:val="24"/>
          <w:szCs w:val="24"/>
        </w:rPr>
        <w:t xml:space="preserve"> do Arquivo Histórico do Rio Grande do Sul, entende-se que a Colônia fora dividida entre seus sócios, formando quatro distritos: Distrito Barcellos, Distrito Silveiro, Distrito Coelho e Distrito Montravel.</w:t>
      </w:r>
    </w:p>
    <w:p w:rsidR="00C755CD" w:rsidRPr="00102124" w:rsidRDefault="00C755CD" w:rsidP="00762855">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exemplo do recrutamento de colonos com destino à Colônia de Santa Maria da Soledade, temos os registros do Códice 234</w:t>
      </w:r>
      <w:r w:rsidRPr="00102124">
        <w:rPr>
          <w:rStyle w:val="FootnoteReference"/>
          <w:rFonts w:ascii="Times New Roman" w:hAnsi="Times New Roman" w:cs="Times New Roman"/>
          <w:color w:val="auto"/>
          <w:sz w:val="24"/>
          <w:szCs w:val="24"/>
        </w:rPr>
        <w:footnoteReference w:id="18"/>
      </w:r>
      <w:r w:rsidRPr="00102124">
        <w:rPr>
          <w:rFonts w:ascii="Times New Roman" w:hAnsi="Times New Roman" w:cs="Times New Roman"/>
          <w:color w:val="auto"/>
          <w:sz w:val="24"/>
          <w:szCs w:val="24"/>
        </w:rPr>
        <w:t>, que evidenciam as 15 famílias que desembarcaram no Porto de Rio Grande em 05/09/1858. De origem prussiana, belga e holandesa, haviam sido introduzidos pela Sociedade Montravel, Silveira e Cia, a q</w:t>
      </w:r>
      <w:r>
        <w:rPr>
          <w:rFonts w:ascii="Times New Roman" w:hAnsi="Times New Roman" w:cs="Times New Roman"/>
          <w:color w:val="auto"/>
          <w:sz w:val="24"/>
          <w:szCs w:val="24"/>
        </w:rPr>
        <w:t>ual pagou as despesas de</w:t>
      </w:r>
      <w:r w:rsidRPr="00102124">
        <w:rPr>
          <w:rFonts w:ascii="Times New Roman" w:hAnsi="Times New Roman" w:cs="Times New Roman"/>
          <w:color w:val="auto"/>
          <w:sz w:val="24"/>
          <w:szCs w:val="24"/>
        </w:rPr>
        <w:t xml:space="preserve"> viagem. Uma das famílias citadas na relação é a família Dierings, natural da Província de Zeeland, na Holanda:</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 xml:space="preserve">DIERINGS, João, 31-40, cas.; Cornelia, 31-40, cas.; Abrahão, 17-21; Carolina, 15-21; Miguel, 17-21; Pedro, 7-16; Adrianna, 8-14; Isaac, 0-6; Susanna, 0-7; </w:t>
      </w:r>
      <w:r w:rsidRPr="00102124">
        <w:rPr>
          <w:rFonts w:ascii="Times New Roman" w:hAnsi="Times New Roman" w:cs="Times New Roman"/>
          <w:b/>
          <w:bCs/>
          <w:color w:val="auto"/>
          <w:sz w:val="20"/>
          <w:szCs w:val="20"/>
        </w:rPr>
        <w:t>hol</w:t>
      </w:r>
      <w:r w:rsidRPr="00102124">
        <w:rPr>
          <w:rFonts w:ascii="Times New Roman" w:hAnsi="Times New Roman" w:cs="Times New Roman"/>
          <w:color w:val="auto"/>
          <w:sz w:val="20"/>
          <w:szCs w:val="20"/>
        </w:rPr>
        <w:t xml:space="preserve">.; chegada de Rio Grande neste Porto: 5-9-1858, emb.: Continentista (vapor); destino: Santa Maria da Soledade.Observações.: Provenientes de Antuerpia pelo Navio Monickenduca, Cap. Flick, até o nº 50 </w:t>
      </w:r>
      <w:r w:rsidRPr="00102124">
        <w:rPr>
          <w:rFonts w:ascii="Times New Roman" w:hAnsi="Times New Roman" w:cs="Times New Roman"/>
          <w:b/>
          <w:bCs/>
          <w:color w:val="auto"/>
          <w:sz w:val="20"/>
          <w:szCs w:val="20"/>
        </w:rPr>
        <w:t>contratados por Montravel Silveira e Cia que pagou suas despesas particularmente</w:t>
      </w:r>
      <w:r w:rsidRPr="00102124">
        <w:rPr>
          <w:rFonts w:ascii="Times New Roman" w:hAnsi="Times New Roman" w:cs="Times New Roman"/>
          <w:color w:val="auto"/>
          <w:sz w:val="20"/>
          <w:szCs w:val="20"/>
        </w:rPr>
        <w:t>; de 50 em diante por conta do Governo (CÓDICE 234, Nº 40-48, p. 43, grifo nosso).</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Sobre o processo de agrimenção/recrutamento de colonos, estando a Sociedade Montravel pressionada pelo prazo do contrato, acabou apelando aos agentes colonizadores da Europa. Neste sent</w:t>
      </w:r>
      <w:r>
        <w:rPr>
          <w:rFonts w:ascii="Times New Roman" w:hAnsi="Times New Roman" w:cs="Times New Roman"/>
          <w:color w:val="auto"/>
          <w:sz w:val="24"/>
          <w:szCs w:val="24"/>
        </w:rPr>
        <w:t>ido, a viajante Langedonck emitiu</w:t>
      </w:r>
      <w:r w:rsidRPr="00102124">
        <w:rPr>
          <w:rFonts w:ascii="Times New Roman" w:hAnsi="Times New Roman" w:cs="Times New Roman"/>
          <w:color w:val="auto"/>
          <w:sz w:val="24"/>
          <w:szCs w:val="24"/>
        </w:rPr>
        <w:t xml:space="preserve"> fortes críticas ao processo de escolha destes colonos, enfatizando que as os agentes europeus “[...] lhes enviaram não a escória desta população, mas os piores dessa escória” (LANGENDONCK, 2002, p. 55). Igualmente, teria introduzido belgas recrutados de prisões, e holandeses, sem coragem moral e força física, os quais teriam sido seduzidos pelos agentes da colonização na Holanda com o intuito de enriquecerem, mas se depararam com a não aguardada precariedade da vida na colônia.</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 A mesma crítica é emitida no que tange a religião, visto que, o Conde de Montravel teria se comprometido a introduzir somente colonos católicos, o</w:t>
      </w:r>
      <w:r>
        <w:rPr>
          <w:rFonts w:ascii="Times New Roman" w:hAnsi="Times New Roman" w:cs="Times New Roman"/>
          <w:color w:val="auto"/>
          <w:sz w:val="24"/>
          <w:szCs w:val="24"/>
        </w:rPr>
        <w:t xml:space="preserve"> que não ocorreu, já</w:t>
      </w:r>
      <w:r w:rsidRPr="00102124">
        <w:rPr>
          <w:rFonts w:ascii="Times New Roman" w:hAnsi="Times New Roman" w:cs="Times New Roman"/>
          <w:color w:val="auto"/>
          <w:sz w:val="24"/>
          <w:szCs w:val="24"/>
        </w:rPr>
        <w:t xml:space="preserve"> que o número de protestantes era muito maior do que o de católicos. Ainda assim, atesta que o próprio administrador da colônia era protestante, corrompendo a iniciativa inicial da preferência pelo culto católico. </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Conforme a listagem</w:t>
      </w:r>
      <w:r w:rsidRPr="00102124">
        <w:rPr>
          <w:rStyle w:val="FootnoteReference"/>
          <w:rFonts w:ascii="Times New Roman" w:hAnsi="Times New Roman" w:cs="Times New Roman"/>
          <w:color w:val="auto"/>
          <w:sz w:val="24"/>
          <w:szCs w:val="24"/>
        </w:rPr>
        <w:footnoteReference w:id="19"/>
      </w:r>
      <w:r w:rsidRPr="00102124">
        <w:rPr>
          <w:rFonts w:ascii="Times New Roman" w:hAnsi="Times New Roman" w:cs="Times New Roman"/>
          <w:color w:val="auto"/>
          <w:sz w:val="24"/>
          <w:szCs w:val="24"/>
        </w:rPr>
        <w:t xml:space="preserve"> de colonos residentes por volta de 1880</w:t>
      </w:r>
      <w:r>
        <w:rPr>
          <w:rFonts w:ascii="Times New Roman" w:hAnsi="Times New Roman" w:cs="Times New Roman"/>
          <w:color w:val="auto"/>
          <w:sz w:val="24"/>
          <w:szCs w:val="24"/>
        </w:rPr>
        <w:t xml:space="preserve"> na antiga</w:t>
      </w:r>
      <w:r w:rsidRPr="00102124">
        <w:rPr>
          <w:rFonts w:ascii="Times New Roman" w:hAnsi="Times New Roman" w:cs="Times New Roman"/>
          <w:color w:val="auto"/>
          <w:sz w:val="24"/>
          <w:szCs w:val="24"/>
        </w:rPr>
        <w:t xml:space="preserve"> Colônia de Santa Maria da Soledade, a Sociedade Montravel introduziu além de alemães, colonos austríacos, belgas, franceses, holandeses e suíços, sendo mais tarde notadas possessões de italianos. Esta gama de imigrantes, embora heterogênea entre si, se movimentou em um espaço comum, podendo-se concluir que o meio agiu de forma preponderante nas relações interétnicas mantidas nesta conjuntura. </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De acordo com Roche (1969), a Sociedade havia em 1859 introduzido 1187. Anos depois, o convênio entre o governo imperial e a Sociedade Montralvel, Silveira e Cia foi rescindido, sendo a colônia assumida pelo Estado. Em 1876 foi fundada a Colônia de São Vendelino, cujas delimitações geográfica</w:t>
      </w:r>
      <w:r>
        <w:rPr>
          <w:rFonts w:ascii="Times New Roman" w:hAnsi="Times New Roman" w:cs="Times New Roman"/>
          <w:color w:val="auto"/>
          <w:sz w:val="24"/>
          <w:szCs w:val="24"/>
        </w:rPr>
        <w:t>s se estenderam sobre parte da a</w:t>
      </w:r>
      <w:r w:rsidRPr="00102124">
        <w:rPr>
          <w:rFonts w:ascii="Times New Roman" w:hAnsi="Times New Roman" w:cs="Times New Roman"/>
          <w:color w:val="auto"/>
          <w:sz w:val="24"/>
          <w:szCs w:val="24"/>
        </w:rPr>
        <w:t xml:space="preserve">ntiga </w:t>
      </w:r>
      <w:r>
        <w:rPr>
          <w:rFonts w:ascii="Times New Roman" w:hAnsi="Times New Roman" w:cs="Times New Roman"/>
          <w:color w:val="auto"/>
          <w:sz w:val="24"/>
          <w:szCs w:val="24"/>
        </w:rPr>
        <w:t>c</w:t>
      </w:r>
      <w:r w:rsidRPr="00102124">
        <w:rPr>
          <w:rFonts w:ascii="Times New Roman" w:hAnsi="Times New Roman" w:cs="Times New Roman"/>
          <w:color w:val="auto"/>
          <w:sz w:val="24"/>
          <w:szCs w:val="24"/>
        </w:rPr>
        <w:t>olônia de Santa Maria da Soledade</w:t>
      </w:r>
      <w:r w:rsidRPr="00102124">
        <w:rPr>
          <w:rStyle w:val="FootnoteReference"/>
          <w:rFonts w:ascii="Times New Roman" w:hAnsi="Times New Roman" w:cs="Times New Roman"/>
          <w:color w:val="auto"/>
          <w:sz w:val="24"/>
          <w:szCs w:val="24"/>
        </w:rPr>
        <w:footnoteReference w:id="20"/>
      </w:r>
      <w:r w:rsidRPr="00102124">
        <w:rPr>
          <w:rFonts w:ascii="Times New Roman" w:hAnsi="Times New Roman" w:cs="Times New Roman"/>
          <w:color w:val="auto"/>
          <w:sz w:val="24"/>
          <w:szCs w:val="24"/>
        </w:rPr>
        <w:t>, tendo como administrador, Eugênio Carrard.</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Apesar disso, a c</w:t>
      </w:r>
      <w:r w:rsidRPr="00102124">
        <w:rPr>
          <w:rFonts w:ascii="Times New Roman" w:hAnsi="Times New Roman" w:cs="Times New Roman"/>
          <w:color w:val="auto"/>
          <w:sz w:val="24"/>
          <w:szCs w:val="24"/>
        </w:rPr>
        <w:t>olônia de Santa Maria da Soledade teve seu início muito antes do consentimento da referida faixa de terras ao Conde de Montravel e a introdução de imigrantes europeus. Para além destes imigrantes, pode-se evidenciar uma possível presença lusitana, visto que os lotes iniciais pertenciam a indivíduos com sobrenomes de origem lusa, como também, os grupos indígenas Kaingang que, no século XIX, ali possuíam seu tradicional território. Langendock (2002) menciona ainda a presença de negros – escravizados e refugiados nas matas – e indígenas – os quais denomina de “civilizados” e “selvagens” que provocavam pilhagens. Sobre a presença indígena, mas não citando sua etnia, a Madame ressalta:</w:t>
      </w:r>
    </w:p>
    <w:p w:rsidR="00C755CD" w:rsidRPr="00102124" w:rsidRDefault="00C755CD" w:rsidP="00267725">
      <w:pPr>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Não longe de nós, veio se estabelecer uma família indígena, composta por oito pessoas. Eram verdadeiros peles-vermelhas, de raça índia. A Sociedade empregava o marido, seus dois irmãos e os dois filhos de sua mulher, de quem ele era o segundo marido, no traçado de estradas e a abertura de picadas que separavam as colônias: eles haviam comprado duas, que cultivavam perfeitamente, por sua conta (LANGENDONCK, 2002, p. 61).</w:t>
      </w:r>
    </w:p>
    <w:p w:rsidR="00C755CD" w:rsidRPr="00102124" w:rsidRDefault="00C755CD" w:rsidP="00762855">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Frente ao exposto, é possível perceber que os Kaingang, tradicionais ocupantes do referido território, tiveram seus espaços ameaçados pela introdução de imigrantes europeus, neste caso, holandeses, que de acordo com o projeto colonizador em vigor na Província, foram instalados na Colônia de Santa Maria da Soledade. Portanto, o pro</w:t>
      </w:r>
      <w:r>
        <w:rPr>
          <w:rFonts w:ascii="Times New Roman" w:hAnsi="Times New Roman" w:cs="Times New Roman"/>
          <w:color w:val="auto"/>
          <w:sz w:val="24"/>
          <w:szCs w:val="24"/>
        </w:rPr>
        <w:t>cesso colonizatório avançou</w:t>
      </w:r>
      <w:r w:rsidRPr="00102124">
        <w:rPr>
          <w:rFonts w:ascii="Times New Roman" w:hAnsi="Times New Roman" w:cs="Times New Roman"/>
          <w:color w:val="auto"/>
          <w:sz w:val="24"/>
          <w:szCs w:val="24"/>
        </w:rPr>
        <w:t xml:space="preserve"> sobre as matas tidas como “desabitadas”/</w:t>
      </w:r>
      <w:r>
        <w:rPr>
          <w:rFonts w:ascii="Times New Roman" w:hAnsi="Times New Roman" w:cs="Times New Roman"/>
          <w:color w:val="auto"/>
          <w:sz w:val="24"/>
          <w:szCs w:val="24"/>
        </w:rPr>
        <w:t>“devolutas”, não acabou levando</w:t>
      </w:r>
      <w:r w:rsidRPr="00102124">
        <w:rPr>
          <w:rFonts w:ascii="Times New Roman" w:hAnsi="Times New Roman" w:cs="Times New Roman"/>
          <w:color w:val="auto"/>
          <w:sz w:val="24"/>
          <w:szCs w:val="24"/>
        </w:rPr>
        <w:t xml:space="preserve"> em consideração a presença indígena e seus respectivos aspectos culturais, provocando reiterados (des)encontros –  conflituosos ou não –  com o “outro”.</w:t>
      </w:r>
    </w:p>
    <w:p w:rsidR="00C755CD" w:rsidRPr="00102124" w:rsidRDefault="00C755CD" w:rsidP="00267725">
      <w:pPr>
        <w:pStyle w:val="Normal1"/>
        <w:keepNext w:val="0"/>
        <w:spacing w:before="28" w:after="198" w:line="240" w:lineRule="auto"/>
        <w:ind w:firstLine="720"/>
        <w:jc w:val="both"/>
        <w:rPr>
          <w:rFonts w:ascii="Times New Roman" w:hAnsi="Times New Roman" w:cs="Times New Roman"/>
          <w:color w:val="auto"/>
          <w:sz w:val="24"/>
          <w:szCs w:val="24"/>
        </w:rPr>
      </w:pPr>
    </w:p>
    <w:p w:rsidR="00C755CD" w:rsidRPr="00102124" w:rsidRDefault="00C755CD" w:rsidP="00267725">
      <w:pPr>
        <w:pStyle w:val="Normal1"/>
        <w:keepNext w:val="0"/>
        <w:spacing w:before="28" w:after="198" w:line="240" w:lineRule="auto"/>
        <w:jc w:val="both"/>
        <w:rPr>
          <w:rFonts w:ascii="Times New Roman" w:hAnsi="Times New Roman" w:cs="Times New Roman"/>
          <w:b/>
          <w:bCs/>
          <w:color w:val="auto"/>
          <w:sz w:val="24"/>
          <w:szCs w:val="24"/>
        </w:rPr>
      </w:pPr>
      <w:r w:rsidRPr="00102124">
        <w:rPr>
          <w:rFonts w:ascii="Times New Roman" w:hAnsi="Times New Roman" w:cs="Times New Roman"/>
          <w:b/>
          <w:bCs/>
          <w:color w:val="auto"/>
          <w:sz w:val="24"/>
          <w:szCs w:val="24"/>
        </w:rPr>
        <w:t>4 A IDEIA SOBRE O “OUTRO”: O CONFLITO COM A FAMÍLIA VERSTEEG</w:t>
      </w:r>
    </w:p>
    <w:p w:rsidR="00C755CD" w:rsidRPr="00102124" w:rsidRDefault="00C755CD" w:rsidP="00C92E5B">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Na colônia de Santa Maria da Soledade, (con)viver com grupos étnicos distintos parece ter sid</w:t>
      </w:r>
      <w:r>
        <w:rPr>
          <w:rFonts w:ascii="Times New Roman" w:hAnsi="Times New Roman" w:cs="Times New Roman"/>
          <w:color w:val="auto"/>
          <w:sz w:val="24"/>
          <w:szCs w:val="24"/>
        </w:rPr>
        <w:t>o algo corriqueiro, custando</w:t>
      </w:r>
      <w:r w:rsidRPr="00102124">
        <w:rPr>
          <w:rFonts w:ascii="Times New Roman" w:hAnsi="Times New Roman" w:cs="Times New Roman"/>
          <w:color w:val="auto"/>
          <w:sz w:val="24"/>
          <w:szCs w:val="24"/>
        </w:rPr>
        <w:t xml:space="preserve"> relações variadas. Nesta colônia, a equidade étnica parece não ter sido levada em consideração pelo projeto colonizador, tendo em vista a heterogeneidade dos imigrantes europeus ali introduzidos. Mesmo assim, a língua e a confissão religiosa atuaram como fatores culturais para agrupamento, promovendo a continuação das práticas culturais, mesmo que a terra natal estivesse distante no espaço.</w:t>
      </w:r>
    </w:p>
    <w:p w:rsidR="00C755CD" w:rsidRPr="00102124" w:rsidRDefault="00C755CD" w:rsidP="00C92E5B">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É neste sentido que se nota Santa Maria da Soledade como ponto de encontro de grupos que viviam em universos culturais distintos, se comunicando a partir de línguas diferentes e fazendo uso de aparatos culturais distintos. Tendo como base Barth (2000), entende-se que quanto maior as diferenças culturais entre distintos grupos étnicos, menor é a interação étnica. Assim, a interação se dá em função da complementaridade de algumas características culturais.</w:t>
      </w:r>
    </w:p>
    <w:p w:rsidR="00C755CD" w:rsidRPr="00102124" w:rsidRDefault="00C755CD" w:rsidP="00C92E5B">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No caso em que se armaram conflitos entre indígenas e imigrantes europeus, é nec</w:t>
      </w:r>
      <w:r>
        <w:rPr>
          <w:rFonts w:ascii="Times New Roman" w:hAnsi="Times New Roman" w:cs="Times New Roman"/>
          <w:color w:val="auto"/>
          <w:sz w:val="24"/>
          <w:szCs w:val="24"/>
        </w:rPr>
        <w:t>essário notar que entre estes houve</w:t>
      </w:r>
      <w:r w:rsidRPr="00102124">
        <w:rPr>
          <w:rFonts w:ascii="Times New Roman" w:hAnsi="Times New Roman" w:cs="Times New Roman"/>
          <w:color w:val="auto"/>
          <w:sz w:val="24"/>
          <w:szCs w:val="24"/>
        </w:rPr>
        <w:t xml:space="preserve"> um distanciamento cultural bastante expressivo em suas formas de (vi)ver, si e aos demais, muito maior ao comparar-se com os demais grupos de imigrantes europeus introduzidos nestas extensões. Logo, este ambiente – com tendências </w:t>
      </w:r>
      <w:r>
        <w:rPr>
          <w:rFonts w:ascii="Times New Roman" w:hAnsi="Times New Roman" w:cs="Times New Roman"/>
          <w:color w:val="auto"/>
          <w:sz w:val="24"/>
          <w:szCs w:val="24"/>
        </w:rPr>
        <w:t>extremamente interétnicas – foi</w:t>
      </w:r>
      <w:r w:rsidRPr="00102124">
        <w:rPr>
          <w:rFonts w:ascii="Times New Roman" w:hAnsi="Times New Roman" w:cs="Times New Roman"/>
          <w:color w:val="auto"/>
          <w:sz w:val="24"/>
          <w:szCs w:val="24"/>
        </w:rPr>
        <w:t xml:space="preserve"> propício para o desenvolvimento de visões e imaginários pejorativos acerca dos indígenas, considerados assim, como parte da natureza, desprovidos de racionalidade e portanto, algo não humano, e em relações sociais, como “selvagens”, violentos ou simplesmente “o outro”. Resquícios desta concepção são perceptíveis na cart</w:t>
      </w:r>
      <w:r>
        <w:rPr>
          <w:rFonts w:ascii="Times New Roman" w:hAnsi="Times New Roman" w:cs="Times New Roman"/>
          <w:color w:val="auto"/>
          <w:sz w:val="24"/>
          <w:szCs w:val="24"/>
        </w:rPr>
        <w:t>a que Mathias Franzen escreveu a</w:t>
      </w:r>
      <w:r w:rsidRPr="00102124">
        <w:rPr>
          <w:rFonts w:ascii="Times New Roman" w:hAnsi="Times New Roman" w:cs="Times New Roman"/>
          <w:color w:val="auto"/>
          <w:sz w:val="24"/>
          <w:szCs w:val="24"/>
        </w:rPr>
        <w:t xml:space="preserve"> seu cunhado Mathias Rockenbach no ano de 1832, fazendo menção à conflitos interétnicos ocorridos em territórios da Bacia Hidrográfica do Caí naquela conjuntura:</w:t>
      </w:r>
    </w:p>
    <w:p w:rsidR="00C755CD" w:rsidRPr="00102124" w:rsidRDefault="00C755CD" w:rsidP="00253087">
      <w:pPr>
        <w:pStyle w:val="Normal1"/>
        <w:keepNext w:val="0"/>
        <w:spacing w:before="28" w:after="198" w:line="240" w:lineRule="auto"/>
        <w:ind w:left="1701"/>
        <w:jc w:val="both"/>
        <w:rPr>
          <w:rFonts w:ascii="Times New Roman" w:hAnsi="Times New Roman" w:cs="Times New Roman"/>
          <w:color w:val="auto"/>
          <w:sz w:val="20"/>
          <w:szCs w:val="20"/>
          <w:lang w:val="de-DE"/>
        </w:rPr>
      </w:pPr>
      <w:r w:rsidRPr="00102124">
        <w:rPr>
          <w:rFonts w:ascii="Times New Roman" w:hAnsi="Times New Roman" w:cs="Times New Roman"/>
          <w:color w:val="auto"/>
          <w:sz w:val="20"/>
          <w:szCs w:val="20"/>
          <w:lang w:val="de-DE"/>
        </w:rPr>
        <w:t xml:space="preserve">Wir wären ganz froh u. Glücklich, wenn ein großes Uebel nemlich die wilden Menschen nicht wären, die schon lange die Waldungen unsicher gemacht und schon 21 Deutschen Brüdern das Leben geraubt haben. […] wenn sie nicht ihre </w:t>
      </w:r>
      <w:r w:rsidRPr="00102124">
        <w:rPr>
          <w:rFonts w:ascii="Times New Roman" w:hAnsi="Times New Roman" w:cs="Times New Roman"/>
          <w:b/>
          <w:bCs/>
          <w:color w:val="auto"/>
          <w:sz w:val="20"/>
          <w:szCs w:val="20"/>
          <w:lang w:val="de-DE"/>
        </w:rPr>
        <w:t>Raub und Mordsucht</w:t>
      </w:r>
      <w:r w:rsidRPr="00102124">
        <w:rPr>
          <w:rFonts w:ascii="Times New Roman" w:hAnsi="Times New Roman" w:cs="Times New Roman"/>
          <w:color w:val="auto"/>
          <w:sz w:val="20"/>
          <w:szCs w:val="20"/>
          <w:lang w:val="de-DE"/>
        </w:rPr>
        <w:t xml:space="preserve"> befriedigen Müßten. Es ist ihnen hauptsächlich um die Entwendung von Eisengeschirr zu tun (DEUTSCHES Volksblatt, 1934, grifo nosso)</w:t>
      </w:r>
      <w:r w:rsidRPr="00102124">
        <w:rPr>
          <w:rStyle w:val="FootnoteReference"/>
          <w:rFonts w:ascii="Times New Roman" w:hAnsi="Times New Roman" w:cs="Times New Roman"/>
          <w:color w:val="auto"/>
          <w:sz w:val="20"/>
          <w:szCs w:val="20"/>
        </w:rPr>
        <w:footnoteReference w:id="21"/>
      </w:r>
      <w:r w:rsidRPr="00102124">
        <w:rPr>
          <w:rFonts w:ascii="Times New Roman" w:hAnsi="Times New Roman" w:cs="Times New Roman"/>
          <w:color w:val="auto"/>
          <w:sz w:val="20"/>
          <w:szCs w:val="20"/>
          <w:lang w:val="de-DE"/>
        </w:rPr>
        <w:t>.</w:t>
      </w:r>
    </w:p>
    <w:p w:rsidR="00C755CD" w:rsidRPr="00102124" w:rsidRDefault="00C755CD" w:rsidP="00C92E5B">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Sabendo que a questão do </w:t>
      </w:r>
      <w:r>
        <w:rPr>
          <w:rFonts w:ascii="Times New Roman" w:hAnsi="Times New Roman" w:cs="Times New Roman"/>
          <w:color w:val="auto"/>
          <w:sz w:val="24"/>
          <w:szCs w:val="24"/>
        </w:rPr>
        <w:t>território foi</w:t>
      </w:r>
      <w:r w:rsidRPr="00102124">
        <w:rPr>
          <w:rFonts w:ascii="Times New Roman" w:hAnsi="Times New Roman" w:cs="Times New Roman"/>
          <w:color w:val="auto"/>
          <w:sz w:val="24"/>
          <w:szCs w:val="24"/>
        </w:rPr>
        <w:t xml:space="preserve"> uma das principais justificativas para o conflito entre indígenas e “civilizados”, tem-se em vista que estes aumentaram em proporção no momento em que o governo da Província de São Pedro do Rio Grande do Sul institui as frentes de expansão. Colonos, instalados compulsoriamente sob assentamentos indígenas, notaram a presença Kaingang como invasiva, enquanto que estes últimos, perdendo seus tradicionais territórios de forma contínua, também desenvolveram uma concepção repulsiva acerca do elemento estrangeiro.</w:t>
      </w:r>
    </w:p>
    <w:p w:rsidR="00C755CD" w:rsidRPr="00102124" w:rsidRDefault="00C755CD" w:rsidP="00C92E5B">
      <w:pPr>
        <w:pStyle w:val="Normal1"/>
        <w:keepNext w:val="0"/>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O mapa a seguir (Figura 1), demonstra uma relação de nove encontros interétnicos entre Kaingang e imigrantes europeus no século XIX, em regiões das colônias Feliz e Santa Maria da Soledade, cujos encontros foram mencionados pelos autores Gansweidt (1946), Barbosa (1977), Mabilde (1983), Becker (1995) e Vedoy (2015).</w:t>
      </w:r>
    </w:p>
    <w:p w:rsidR="00C755CD" w:rsidRPr="00102124" w:rsidRDefault="00C755CD" w:rsidP="00267725">
      <w:pPr>
        <w:pStyle w:val="Normal1"/>
        <w:keepNext w:val="0"/>
        <w:spacing w:before="28" w:after="198" w:line="240" w:lineRule="auto"/>
        <w:ind w:firstLine="720"/>
        <w:jc w:val="both"/>
        <w:rPr>
          <w:rFonts w:ascii="Times New Roman" w:hAnsi="Times New Roman" w:cs="Times New Roman"/>
          <w:color w:val="auto"/>
          <w:sz w:val="24"/>
          <w:szCs w:val="24"/>
        </w:rPr>
      </w:pPr>
    </w:p>
    <w:p w:rsidR="00C755CD" w:rsidRPr="00102124" w:rsidRDefault="00C755CD" w:rsidP="008F5502">
      <w:pPr>
        <w:pStyle w:val="Normal1"/>
        <w:keepNext w:val="0"/>
        <w:spacing w:before="28" w:after="198" w:line="24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Figura 2: Mapa dos conflitos em regiões das Colônias de Feliz e Santa Maria da Soledade no século XIX.</w:t>
      </w:r>
    </w:p>
    <w:p w:rsidR="00C755CD" w:rsidRPr="00102124" w:rsidRDefault="00C755CD" w:rsidP="00267725">
      <w:pPr>
        <w:pStyle w:val="Normal1"/>
        <w:keepNext w:val="0"/>
        <w:spacing w:before="28" w:after="198" w:line="240" w:lineRule="auto"/>
        <w:ind w:firstLine="720"/>
        <w:jc w:val="both"/>
        <w:rPr>
          <w:rFonts w:ascii="Times New Roman" w:hAnsi="Times New Roman" w:cs="Times New Roman"/>
          <w:color w:val="auto"/>
          <w:sz w:val="24"/>
          <w:szCs w:val="24"/>
        </w:rPr>
      </w:pPr>
      <w:r w:rsidRPr="00641D5F">
        <w:rPr>
          <w:rFonts w:ascii="Times New Roman" w:hAnsi="Times New Roman" w:cs="Times New Roman"/>
          <w:color w:val="auto"/>
          <w:sz w:val="24"/>
          <w:szCs w:val="24"/>
        </w:rPr>
        <w:pict>
          <v:shape id="_x0000_i1026" type="#_x0000_t75" style="width:384pt;height:279pt">
            <v:imagedata r:id="rId8" o:title=""/>
          </v:shape>
        </w:pict>
      </w:r>
    </w:p>
    <w:p w:rsidR="00C755CD" w:rsidRPr="00102124" w:rsidRDefault="00C755CD" w:rsidP="008F5502">
      <w:pPr>
        <w:pStyle w:val="Normal1"/>
        <w:keepNext w:val="0"/>
        <w:spacing w:before="28" w:after="198" w:line="24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Fonte: Elaborado pelo autor a partir do mapa da Fundação Estatística e Econômica, do Cored do Vale do Caí.</w:t>
      </w:r>
    </w:p>
    <w:p w:rsidR="00C755CD" w:rsidRPr="00102124" w:rsidRDefault="00C755CD" w:rsidP="008F5502">
      <w:pPr>
        <w:pStyle w:val="Normal1"/>
        <w:keepNext w:val="0"/>
        <w:spacing w:before="28" w:after="198" w:line="240" w:lineRule="auto"/>
        <w:ind w:firstLine="720"/>
        <w:jc w:val="both"/>
        <w:rPr>
          <w:rFonts w:ascii="Times New Roman" w:hAnsi="Times New Roman" w:cs="Times New Roman"/>
          <w:color w:val="auto"/>
          <w:sz w:val="24"/>
          <w:szCs w:val="24"/>
        </w:rPr>
      </w:pP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Uma das famílias que se envolveu em situações conflituosas com indígenas foi a família Versteeg, popularmente conhecida em virtude do “rapto” e “pilhagem” provocado por indígenas Kaingang em sua propriedade, na Colônia de Santa Maria da Soledade, em 1868, ilustrado no item 9 do Mapa (Figura 1). O caso teve expressiva repercussão na comunidade, servindo como tema para as clássicas obras dos autores Gansweidt, “As vítimas do Bugre” ([1929] 1946]) – do original “Luis Buger und die Opfe seiner Rache”, e Barbosa, “Luís Bugre: O indígena diante dos imigrantes alemães” (1977), as quais apresentam alguns detalhes divergentes</w:t>
      </w:r>
      <w:r w:rsidRPr="00102124">
        <w:rPr>
          <w:rStyle w:val="FootnoteReference"/>
          <w:rFonts w:ascii="Times New Roman" w:hAnsi="Times New Roman" w:cs="Times New Roman"/>
          <w:color w:val="auto"/>
          <w:sz w:val="24"/>
          <w:szCs w:val="24"/>
        </w:rPr>
        <w:footnoteReference w:id="22"/>
      </w:r>
      <w:r w:rsidRPr="00102124">
        <w:rPr>
          <w:rFonts w:ascii="Times New Roman" w:hAnsi="Times New Roman" w:cs="Times New Roman"/>
          <w:color w:val="auto"/>
          <w:sz w:val="24"/>
          <w:szCs w:val="24"/>
        </w:rPr>
        <w:t xml:space="preserve"> entre si acerca do caso.</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Gansweidt (1946) descreve Lambertus como oriundo de uma nobre família europeia, descendente dos Condes de “von Ameringen” por parte de sua mãe. Seu sobrenome seria originalmente grafado da forma “von Steg”, cuja alteração para a variante “Versteg” teria sido proposital. Igualmente, teria conhecido sua esposa na Holanda, onde teria adoecido e perdido suas riquezas. Barbosa (1977) reporta-se a Lambertus como proveniente da cidade alemã de Coblença, descendente de uma nobre família. Tendo perdido riquezas e posi</w:t>
      </w:r>
      <w:r>
        <w:rPr>
          <w:rFonts w:ascii="Times New Roman" w:hAnsi="Times New Roman" w:cs="Times New Roman"/>
          <w:color w:val="auto"/>
          <w:sz w:val="24"/>
          <w:szCs w:val="24"/>
        </w:rPr>
        <w:t>ção social, migrou</w:t>
      </w:r>
      <w:r w:rsidRPr="00102124">
        <w:rPr>
          <w:rFonts w:ascii="Times New Roman" w:hAnsi="Times New Roman" w:cs="Times New Roman"/>
          <w:color w:val="auto"/>
          <w:sz w:val="24"/>
          <w:szCs w:val="24"/>
        </w:rPr>
        <w:t xml:space="preserve"> para a Holanda, onde constituíra </w:t>
      </w:r>
      <w:r>
        <w:rPr>
          <w:rFonts w:ascii="Times New Roman" w:hAnsi="Times New Roman" w:cs="Times New Roman"/>
          <w:color w:val="auto"/>
          <w:sz w:val="24"/>
          <w:szCs w:val="24"/>
        </w:rPr>
        <w:t>uma família e mais tarde partiu</w:t>
      </w:r>
      <w:r w:rsidRPr="00102124">
        <w:rPr>
          <w:rFonts w:ascii="Times New Roman" w:hAnsi="Times New Roman" w:cs="Times New Roman"/>
          <w:color w:val="auto"/>
          <w:sz w:val="24"/>
          <w:szCs w:val="24"/>
        </w:rPr>
        <w:t xml:space="preserve"> ao Brasil.</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Apesar das generalizações presentes nas referidas obras, esta pesquisa permitiu concluir que a família Versteeg se tratava de uma das famílias holandesas que foram contratadas pela Sociedade Montravel Silveira e Cia para colonizar a Colônia de Santa Maria da Soledade no ano de 1858. Na sequência, transcreve-se o registro de entrada da família, com vistas para a variação do sobrenome</w:t>
      </w:r>
      <w:r w:rsidRPr="00102124">
        <w:rPr>
          <w:rStyle w:val="FootnoteReference"/>
          <w:rFonts w:ascii="Times New Roman" w:hAnsi="Times New Roman" w:cs="Times New Roman"/>
          <w:color w:val="auto"/>
          <w:sz w:val="24"/>
          <w:szCs w:val="24"/>
        </w:rPr>
        <w:footnoteReference w:id="23"/>
      </w:r>
      <w:r w:rsidRPr="00102124">
        <w:rPr>
          <w:rFonts w:ascii="Times New Roman" w:hAnsi="Times New Roman" w:cs="Times New Roman"/>
          <w:color w:val="auto"/>
          <w:sz w:val="24"/>
          <w:szCs w:val="24"/>
        </w:rPr>
        <w:t xml:space="preserve"> e a incoerência da procedência, ali atestada como prussiana:</w:t>
      </w:r>
    </w:p>
    <w:p w:rsidR="00C755CD" w:rsidRPr="00102124" w:rsidRDefault="00C755CD" w:rsidP="00267725">
      <w:pPr>
        <w:pStyle w:val="Normal1"/>
        <w:keepNext w:val="0"/>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VETZSTEG, Lambert, 22-30, cas., pedreiro; Maria, 22-30, cas.; Jacob, 0-6; pruss; chegada de Rio Grande neste Porto: 3-10-1858, emb.: Continentista (vapor); destino: Santa Maria da Soledade. Obs.: Provenientes do navio Laura de Antuérpia, introduzidos por Montravel Silveira e Cia (CÓDICE 234, Nº 56-58, p. 47, grifo nosso).</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 xml:space="preserve">Sobre a procedência de LambertusVersteeg, a partir da documentação, </w:t>
      </w:r>
      <w:r>
        <w:rPr>
          <w:rFonts w:ascii="Times New Roman" w:hAnsi="Times New Roman" w:cs="Times New Roman"/>
          <w:color w:val="auto"/>
          <w:sz w:val="24"/>
          <w:szCs w:val="24"/>
        </w:rPr>
        <w:t>é possível constatar que não foi</w:t>
      </w:r>
      <w:r w:rsidRPr="00102124">
        <w:rPr>
          <w:rFonts w:ascii="Times New Roman" w:hAnsi="Times New Roman" w:cs="Times New Roman"/>
          <w:color w:val="auto"/>
          <w:sz w:val="24"/>
          <w:szCs w:val="24"/>
        </w:rPr>
        <w:t xml:space="preserve"> alemã, como mencionada por muitos autores. Conforme seu</w:t>
      </w:r>
      <w:r>
        <w:rPr>
          <w:rFonts w:ascii="Times New Roman" w:hAnsi="Times New Roman" w:cs="Times New Roman"/>
          <w:color w:val="auto"/>
          <w:sz w:val="24"/>
          <w:szCs w:val="24"/>
        </w:rPr>
        <w:t xml:space="preserve"> registro de nascimento, nasceu</w:t>
      </w:r>
      <w:r w:rsidRPr="00102124">
        <w:rPr>
          <w:rFonts w:ascii="Times New Roman" w:hAnsi="Times New Roman" w:cs="Times New Roman"/>
          <w:color w:val="auto"/>
          <w:sz w:val="24"/>
          <w:szCs w:val="24"/>
        </w:rPr>
        <w:t xml:space="preserve"> a 11 de novembro de 1822 em Haarlem, Província de Noord-Holland, na Holanda, filho de Jacob Versteeg e Maria Wydogen. Corrobora para a questão, um trecho do registro de nascimento de Lambertus em idioma holandês, oriundo do registro Civil da cidade de Haarlem, capital da Província holandesa de Noord-Holland:</w:t>
      </w:r>
    </w:p>
    <w:p w:rsidR="00C755CD" w:rsidRPr="00102124" w:rsidRDefault="00C755CD" w:rsidP="00267725">
      <w:pPr>
        <w:pStyle w:val="Normal1"/>
        <w:keepNext w:val="0"/>
        <w:spacing w:after="0" w:line="240" w:lineRule="auto"/>
        <w:ind w:left="1701"/>
        <w:jc w:val="both"/>
        <w:rPr>
          <w:rFonts w:ascii="Times New Roman" w:hAnsi="Times New Roman" w:cs="Times New Roman"/>
          <w:color w:val="auto"/>
          <w:sz w:val="20"/>
          <w:szCs w:val="20"/>
          <w:lang w:val="de-DE"/>
        </w:rPr>
      </w:pPr>
      <w:r w:rsidRPr="00102124">
        <w:rPr>
          <w:rFonts w:ascii="Times New Roman" w:hAnsi="Times New Roman" w:cs="Times New Roman"/>
          <w:color w:val="auto"/>
          <w:sz w:val="20"/>
          <w:szCs w:val="20"/>
          <w:lang w:val="de-DE"/>
        </w:rPr>
        <w:t>Den twaalfden dag der maand November van ’t jaar achttien-honderd-twee-en-twintig, ten twaalfuren op den middag.</w:t>
      </w:r>
    </w:p>
    <w:p w:rsidR="00C755CD" w:rsidRPr="00102124" w:rsidRDefault="00C755CD" w:rsidP="00267725">
      <w:pPr>
        <w:pStyle w:val="Normal1"/>
        <w:keepNext w:val="0"/>
        <w:spacing w:after="0" w:line="240" w:lineRule="auto"/>
        <w:ind w:left="1701"/>
        <w:jc w:val="both"/>
        <w:rPr>
          <w:rFonts w:ascii="Times New Roman" w:hAnsi="Times New Roman" w:cs="Times New Roman"/>
          <w:color w:val="auto"/>
          <w:sz w:val="20"/>
          <w:szCs w:val="20"/>
          <w:lang w:val="de-DE"/>
        </w:rPr>
      </w:pPr>
      <w:r w:rsidRPr="00102124">
        <w:rPr>
          <w:rFonts w:ascii="Times New Roman" w:hAnsi="Times New Roman" w:cs="Times New Roman"/>
          <w:color w:val="auto"/>
          <w:sz w:val="20"/>
          <w:szCs w:val="20"/>
          <w:lang w:val="de-DE"/>
        </w:rPr>
        <w:t xml:space="preserve">Acte van geboorte van </w:t>
      </w:r>
      <w:r w:rsidRPr="00102124">
        <w:rPr>
          <w:rFonts w:ascii="Times New Roman" w:hAnsi="Times New Roman" w:cs="Times New Roman"/>
          <w:b/>
          <w:bCs/>
          <w:color w:val="auto"/>
          <w:sz w:val="20"/>
          <w:szCs w:val="20"/>
          <w:lang w:val="de-DE"/>
        </w:rPr>
        <w:t>Lambertus</w:t>
      </w:r>
      <w:r w:rsidRPr="00102124">
        <w:rPr>
          <w:rFonts w:ascii="Times New Roman" w:hAnsi="Times New Roman" w:cs="Times New Roman"/>
          <w:color w:val="auto"/>
          <w:sz w:val="20"/>
          <w:szCs w:val="20"/>
          <w:lang w:val="de-DE"/>
        </w:rPr>
        <w:t xml:space="preserve">, geboren den Elften, des morgens ten zes uren, Zoon van </w:t>
      </w:r>
      <w:r w:rsidRPr="00102124">
        <w:rPr>
          <w:rFonts w:ascii="Times New Roman" w:hAnsi="Times New Roman" w:cs="Times New Roman"/>
          <w:b/>
          <w:bCs/>
          <w:color w:val="auto"/>
          <w:sz w:val="20"/>
          <w:szCs w:val="20"/>
          <w:lang w:val="de-DE"/>
        </w:rPr>
        <w:t>Jacob Versteeg</w:t>
      </w:r>
      <w:r w:rsidRPr="00102124">
        <w:rPr>
          <w:rFonts w:ascii="Times New Roman" w:hAnsi="Times New Roman" w:cs="Times New Roman"/>
          <w:color w:val="auto"/>
          <w:sz w:val="20"/>
          <w:szCs w:val="20"/>
          <w:lang w:val="de-DE"/>
        </w:rPr>
        <w:t xml:space="preserve">, van vijftwintigjaren [...], en </w:t>
      </w:r>
      <w:r w:rsidRPr="00102124">
        <w:rPr>
          <w:rFonts w:ascii="Times New Roman" w:hAnsi="Times New Roman" w:cs="Times New Roman"/>
          <w:b/>
          <w:bCs/>
          <w:color w:val="auto"/>
          <w:sz w:val="20"/>
          <w:szCs w:val="20"/>
          <w:lang w:val="de-DE"/>
        </w:rPr>
        <w:t xml:space="preserve">Maria Wydogen, </w:t>
      </w:r>
      <w:r w:rsidRPr="00102124">
        <w:rPr>
          <w:rFonts w:ascii="Times New Roman" w:hAnsi="Times New Roman" w:cs="Times New Roman"/>
          <w:color w:val="auto"/>
          <w:sz w:val="20"/>
          <w:szCs w:val="20"/>
          <w:lang w:val="de-DE"/>
        </w:rPr>
        <w:t xml:space="preserve">Ehtaliaden, wonende in da Breesteeg. […] Zijnde deze Acte na mijne voorlezing geteekend door den Vader en de beide getuigen, bevestigd, ingevolge de wet door mij ondergeteekende Burgemeester, Ambtenaar van den Burgerlijken Stand der stad </w:t>
      </w:r>
      <w:r w:rsidRPr="00102124">
        <w:rPr>
          <w:rFonts w:ascii="Times New Roman" w:hAnsi="Times New Roman" w:cs="Times New Roman"/>
          <w:b/>
          <w:bCs/>
          <w:color w:val="auto"/>
          <w:sz w:val="20"/>
          <w:szCs w:val="20"/>
          <w:lang w:val="de-DE"/>
        </w:rPr>
        <w:t>Haarlem</w:t>
      </w:r>
      <w:r w:rsidRPr="00102124">
        <w:rPr>
          <w:rFonts w:ascii="Times New Roman" w:hAnsi="Times New Roman" w:cs="Times New Roman"/>
          <w:color w:val="auto"/>
          <w:sz w:val="20"/>
          <w:szCs w:val="20"/>
          <w:lang w:val="de-DE"/>
        </w:rPr>
        <w:t xml:space="preserve"> (</w:t>
      </w:r>
      <w:r w:rsidRPr="00102124">
        <w:rPr>
          <w:rFonts w:ascii="Times New Roman" w:hAnsi="Times New Roman" w:cs="Times New Roman"/>
          <w:sz w:val="20"/>
          <w:szCs w:val="20"/>
          <w:shd w:val="clear" w:color="auto" w:fill="FFFFFF"/>
          <w:lang w:val="de-DE"/>
        </w:rPr>
        <w:t>REGISTRO DE NASCIMENTO de 11 de novembro de 1822. Livro de Registro Civil – Nascimentos (1821-1822).</w:t>
      </w:r>
      <w:r w:rsidRPr="00102124">
        <w:rPr>
          <w:rFonts w:ascii="Times New Roman" w:hAnsi="Times New Roman" w:cs="Times New Roman"/>
          <w:color w:val="auto"/>
          <w:sz w:val="20"/>
          <w:szCs w:val="20"/>
          <w:lang w:val="de-DE"/>
        </w:rPr>
        <w:t xml:space="preserve"> p. 151, grifos nossos)</w:t>
      </w:r>
      <w:r w:rsidRPr="00102124">
        <w:rPr>
          <w:rStyle w:val="FootnoteReference"/>
          <w:rFonts w:ascii="Times New Roman" w:hAnsi="Times New Roman" w:cs="Times New Roman"/>
          <w:color w:val="auto"/>
          <w:sz w:val="20"/>
          <w:szCs w:val="20"/>
          <w:lang w:val="de-DE"/>
        </w:rPr>
        <w:footnoteReference w:id="24"/>
      </w:r>
      <w:r w:rsidRPr="00102124">
        <w:rPr>
          <w:rFonts w:ascii="Times New Roman" w:hAnsi="Times New Roman" w:cs="Times New Roman"/>
          <w:color w:val="auto"/>
          <w:sz w:val="20"/>
          <w:szCs w:val="20"/>
          <w:lang w:val="de-DE"/>
        </w:rPr>
        <w:t>.</w:t>
      </w:r>
    </w:p>
    <w:p w:rsidR="00C755CD" w:rsidRPr="00102124" w:rsidRDefault="00C755CD" w:rsidP="00267725">
      <w:pPr>
        <w:pStyle w:val="Normal1"/>
        <w:keepNext w:val="0"/>
        <w:spacing w:after="0" w:line="240" w:lineRule="auto"/>
        <w:ind w:left="1701"/>
        <w:jc w:val="both"/>
        <w:rPr>
          <w:rFonts w:ascii="Times New Roman" w:hAnsi="Times New Roman" w:cs="Times New Roman"/>
          <w:color w:val="auto"/>
          <w:sz w:val="24"/>
          <w:szCs w:val="24"/>
          <w:lang w:val="de-DE"/>
        </w:rPr>
      </w:pP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lang w:val="de-DE"/>
        </w:rPr>
        <w:tab/>
      </w:r>
      <w:r w:rsidRPr="00102124">
        <w:rPr>
          <w:rFonts w:ascii="Times New Roman" w:hAnsi="Times New Roman" w:cs="Times New Roman"/>
          <w:color w:val="auto"/>
          <w:sz w:val="24"/>
          <w:szCs w:val="24"/>
        </w:rPr>
        <w:t>Igualmente, tem-se o registro de óbito do colono Lambertus, proveniente da Entidade Eclesiástica IECLB São Vendelino, originalmente no idioma alemão, ocorrido em 01 de dezembro de 1887, e que menciona sua proveniência holandesa: “</w:t>
      </w:r>
      <w:r w:rsidRPr="00102124">
        <w:rPr>
          <w:rFonts w:ascii="Times New Roman" w:hAnsi="Times New Roman" w:cs="Times New Roman"/>
          <w:color w:val="auto"/>
          <w:sz w:val="24"/>
          <w:szCs w:val="24"/>
          <w:lang w:val="de-DE"/>
        </w:rPr>
        <w:t xml:space="preserve">Lambert Ver Steeg, geb. 11 Nov. 1822 zu </w:t>
      </w:r>
      <w:r w:rsidRPr="00102124">
        <w:rPr>
          <w:rFonts w:ascii="Times New Roman" w:hAnsi="Times New Roman" w:cs="Times New Roman"/>
          <w:b/>
          <w:bCs/>
          <w:color w:val="auto"/>
          <w:sz w:val="24"/>
          <w:szCs w:val="24"/>
          <w:lang w:val="de-DE"/>
        </w:rPr>
        <w:t>Haarlem</w:t>
      </w:r>
      <w:r w:rsidRPr="00102124">
        <w:rPr>
          <w:rFonts w:ascii="Times New Roman" w:hAnsi="Times New Roman" w:cs="Times New Roman"/>
          <w:color w:val="auto"/>
          <w:sz w:val="24"/>
          <w:szCs w:val="24"/>
          <w:lang w:val="de-DE"/>
        </w:rPr>
        <w:t xml:space="preserve"> in </w:t>
      </w:r>
      <w:r w:rsidRPr="00102124">
        <w:rPr>
          <w:rFonts w:ascii="Times New Roman" w:hAnsi="Times New Roman" w:cs="Times New Roman"/>
          <w:b/>
          <w:bCs/>
          <w:color w:val="auto"/>
          <w:sz w:val="24"/>
          <w:szCs w:val="24"/>
          <w:lang w:val="de-DE"/>
        </w:rPr>
        <w:t>Niederland</w:t>
      </w:r>
      <w:r w:rsidRPr="00102124">
        <w:rPr>
          <w:rFonts w:ascii="Times New Roman" w:hAnsi="Times New Roman" w:cs="Times New Roman"/>
          <w:color w:val="auto"/>
          <w:sz w:val="24"/>
          <w:szCs w:val="24"/>
          <w:lang w:val="de-DE"/>
        </w:rPr>
        <w:t xml:space="preserve">, gestorben am Lungentzündung am 1 Dez. </w:t>
      </w:r>
      <w:r w:rsidRPr="00102124">
        <w:rPr>
          <w:rFonts w:ascii="Times New Roman" w:hAnsi="Times New Roman" w:cs="Times New Roman"/>
          <w:color w:val="auto"/>
          <w:sz w:val="24"/>
          <w:szCs w:val="24"/>
        </w:rPr>
        <w:t xml:space="preserve">1887, Heute, 12 Uhr, beerdigtam 3. Dez” </w:t>
      </w:r>
      <w:r w:rsidRPr="00102124">
        <w:rPr>
          <w:rFonts w:ascii="Times New Roman" w:hAnsi="Times New Roman" w:cs="Times New Roman"/>
          <w:color w:val="auto"/>
          <w:sz w:val="20"/>
          <w:szCs w:val="20"/>
          <w:lang w:val="de-DE"/>
        </w:rPr>
        <w:t>(IECLB São Vendelino, Óbitos (1872-1999), Nº 46, grifos nossos).</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O conflito com os Kaingang que acarretou a tomada como prisioneiros os integrantes da família Versteeg, teria se dado após quase dez anos da instalação da família na Colônia de Santa Maria da Soledade. Lambertus teria se afastado da família em 13 de janeiro de 1868, para deslocar-se ao Vale do Caí – São José do Hortêncio, onde visitaria a família de um amigo de nome Valentim Weber, participando dos festejos atinentes à quermesse</w:t>
      </w:r>
      <w:r w:rsidRPr="00102124">
        <w:rPr>
          <w:rStyle w:val="FootnoteReference"/>
          <w:rFonts w:ascii="Times New Roman" w:hAnsi="Times New Roman" w:cs="Times New Roman"/>
          <w:color w:val="auto"/>
          <w:sz w:val="24"/>
          <w:szCs w:val="24"/>
        </w:rPr>
        <w:footnoteReference w:id="25"/>
      </w:r>
      <w:r w:rsidRPr="00102124">
        <w:rPr>
          <w:rFonts w:ascii="Times New Roman" w:hAnsi="Times New Roman" w:cs="Times New Roman"/>
          <w:color w:val="auto"/>
          <w:sz w:val="24"/>
          <w:szCs w:val="24"/>
        </w:rPr>
        <w:t xml:space="preserve"> que ocorreria no dia seguinte. </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Durante este período de afastamento, a esposa de Lambertus, referida na obra de Ganswei</w:t>
      </w:r>
      <w:r>
        <w:rPr>
          <w:rFonts w:ascii="Times New Roman" w:hAnsi="Times New Roman" w:cs="Times New Roman"/>
          <w:color w:val="auto"/>
          <w:sz w:val="24"/>
          <w:szCs w:val="24"/>
        </w:rPr>
        <w:t>dt (1946) como Valfrida Bloom, teria sido</w:t>
      </w:r>
      <w:r w:rsidRPr="00102124">
        <w:rPr>
          <w:rFonts w:ascii="Times New Roman" w:hAnsi="Times New Roman" w:cs="Times New Roman"/>
          <w:color w:val="auto"/>
          <w:sz w:val="24"/>
          <w:szCs w:val="24"/>
        </w:rPr>
        <w:t xml:space="preserve"> atacada por um grupo de indígenas Kaingang que adentram a residência e levaram como prisioneiros dois de seus filhos – Jacó, de 14 anos e Maria Lucila, de 12 anos. O regresso de Lambertus com os notórios sinais da investida Kaingang, é descrito por Gansweidt da seguinte forma:</w:t>
      </w:r>
    </w:p>
    <w:p w:rsidR="00C755CD" w:rsidRPr="00102124" w:rsidRDefault="00C755CD" w:rsidP="00267725">
      <w:pPr>
        <w:pStyle w:val="Normal1"/>
        <w:keepNext w:val="0"/>
        <w:tabs>
          <w:tab w:val="left" w:pos="4500"/>
        </w:tabs>
        <w:spacing w:before="28" w:after="198" w:line="240" w:lineRule="auto"/>
        <w:ind w:left="1701"/>
        <w:jc w:val="both"/>
        <w:rPr>
          <w:rFonts w:ascii="Times New Roman" w:hAnsi="Times New Roman" w:cs="Times New Roman"/>
          <w:color w:val="auto"/>
          <w:sz w:val="24"/>
          <w:szCs w:val="24"/>
        </w:rPr>
      </w:pPr>
      <w:r w:rsidRPr="00102124">
        <w:rPr>
          <w:rFonts w:ascii="Times New Roman" w:hAnsi="Times New Roman" w:cs="Times New Roman"/>
          <w:color w:val="auto"/>
          <w:sz w:val="20"/>
          <w:szCs w:val="20"/>
        </w:rPr>
        <w:t>[…] e vê-se a patear no meio das cinzas onde ainda fumegam carvões acesos. [...] Aqui uma galinha estraçalhada... mais uma... e uma terceira... quarta, quinta, às dúzias juncam o chão em meio as penas. Avança mais... os chiqueiros arrombados e em parte demolidos. Dentro, os suínos abatidos, cortados, esquartejados e com nacos e quartos desaparecidos. Segue para o potreiro e a visão dantesca se repete. Cavalos, vacas, bois, terneiros, tudo destroçado a cacetadas, golpeando até a morte. Aqui também faltam às vítimas diversas partes do corpo. E em toda parte, no chão, pegadas humanas, de pés descalços, mas pegas diferentes das de seus familiares, mais largas, grosseiras e rudes (GANSWEIDT, 1946, p. 59).</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Sendo assim, Lambertus procurou apoio de seus vizinhos, os quais compuseram uma expedição inicial de vinte e seis colonos, com o intuito de localizar a família em meio à mata. A incursão que teria durado dois dias –  com pernoite e chuvas na floresta, teria chegado ao fim com o esgotamento físico dos colonos, sem maiores resultados.</w:t>
      </w:r>
      <w:r>
        <w:rPr>
          <w:rFonts w:ascii="Times New Roman" w:hAnsi="Times New Roman" w:cs="Times New Roman"/>
          <w:color w:val="auto"/>
          <w:sz w:val="24"/>
          <w:szCs w:val="24"/>
        </w:rPr>
        <w:t xml:space="preserve"> Em sequência, Lambertus teria buscado</w:t>
      </w:r>
      <w:r w:rsidRPr="00102124">
        <w:rPr>
          <w:rFonts w:ascii="Times New Roman" w:hAnsi="Times New Roman" w:cs="Times New Roman"/>
          <w:color w:val="auto"/>
          <w:sz w:val="24"/>
          <w:szCs w:val="24"/>
        </w:rPr>
        <w:t xml:space="preserve"> auxílio em São Leopoldo, organizando-se uma segunda expedição, esta, com participação do Chefe de Polícia de Porto Alegre e demais colonos de distintas procedências da Província. Nesta segunda incursão na mata, Gansweidt relata que os “expedicionários” teriam chegado muito próximos do grupo Kaingang que estavam com a família aprisionada:</w:t>
      </w:r>
    </w:p>
    <w:p w:rsidR="00C755CD" w:rsidRPr="00102124" w:rsidRDefault="00C755CD" w:rsidP="00267725">
      <w:pPr>
        <w:pStyle w:val="Normal1"/>
        <w:keepNext w:val="0"/>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Não parece dúvida! Aqui houve uma aldeia um dia. No centro de um relvado pisoteado negreja um montão de cinzas. Ao derredor, espaços retangulares de terra nua, em meio do capim, dizem que aí se erguiam ocas selvagens. Ainda abertos os buracos dos postes arrancados. Palha e ramagem sêca, pertencentes aos telhados e paredes, jazem esparsos pelo chão. Bem recente a demolição, por certo, pois ainda nenhuma chuva batizara a cinza (GANSWEIDT, 1946, p. 127).</w:t>
      </w:r>
    </w:p>
    <w:p w:rsidR="00C755CD" w:rsidRPr="00102124" w:rsidRDefault="00C755CD" w:rsidP="00C92E5B">
      <w:pPr>
        <w:pStyle w:val="Normal1"/>
        <w:keepNext w:val="0"/>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b/>
        <w:t>Esta segunda expedição – que teria partido a 22 de janeiro de 1868 – teria chegado à Fazenda de Manoel Firminiano, o q</w:t>
      </w:r>
      <w:r>
        <w:rPr>
          <w:rFonts w:ascii="Times New Roman" w:hAnsi="Times New Roman" w:cs="Times New Roman"/>
          <w:color w:val="auto"/>
          <w:sz w:val="24"/>
          <w:szCs w:val="24"/>
        </w:rPr>
        <w:t>ual os acolhera por dois dias, apoiando</w:t>
      </w:r>
      <w:r w:rsidRPr="00102124">
        <w:rPr>
          <w:rFonts w:ascii="Times New Roman" w:hAnsi="Times New Roman" w:cs="Times New Roman"/>
          <w:color w:val="auto"/>
          <w:sz w:val="24"/>
          <w:szCs w:val="24"/>
        </w:rPr>
        <w:t xml:space="preserve"> a incursão nas matas por mais dez dias, inclusive fornecendo peões. Mesmo a</w:t>
      </w:r>
      <w:r>
        <w:rPr>
          <w:rFonts w:ascii="Times New Roman" w:hAnsi="Times New Roman" w:cs="Times New Roman"/>
          <w:color w:val="auto"/>
          <w:sz w:val="24"/>
          <w:szCs w:val="24"/>
        </w:rPr>
        <w:t>ssim, a incursão que se alongou</w:t>
      </w:r>
      <w:r w:rsidRPr="00102124">
        <w:rPr>
          <w:rFonts w:ascii="Times New Roman" w:hAnsi="Times New Roman" w:cs="Times New Roman"/>
          <w:color w:val="auto"/>
          <w:sz w:val="24"/>
          <w:szCs w:val="24"/>
        </w:rPr>
        <w:t xml:space="preserve"> por vinte e três dias, não teria atingido resultados satisfatórios, conforme comprova o relatório enviado pelo Presidente da Província Dr. Francisco Marcondes Homem de Melo à administração da Província, datado de  24 de fevereiro de 1868:</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 Por offcio de 24 de Fevereiro comunicou-me o Dr. Chefe da Polícia que forão infrutiferas as diligencias empregadas, pois apenas se encontrarão vestígios passageiros da marcha dos selvagens, despendendo-se com a partida que, desde 19 de Janeiro até 11 de Fevereiro se internou nas mattas, a quantia de 701$740 reis, que mandei pagar pela Directoria da Fazenda Provincial (RELATÓRIO de 24/02/1868, AHRS).</w:t>
      </w:r>
    </w:p>
    <w:p w:rsidR="00C755CD" w:rsidRPr="00102124" w:rsidRDefault="00C755CD" w:rsidP="00ED2447">
      <w:pPr>
        <w:pStyle w:val="Normal1"/>
        <w:spacing w:before="28" w:after="198" w:line="360" w:lineRule="auto"/>
        <w:jc w:val="both"/>
        <w:rPr>
          <w:rFonts w:ascii="Times New Roman" w:hAnsi="Times New Roman" w:cs="Times New Roman"/>
          <w:color w:val="auto"/>
          <w:sz w:val="24"/>
          <w:szCs w:val="24"/>
        </w:rPr>
      </w:pPr>
      <w:r w:rsidRPr="00102124">
        <w:rPr>
          <w:rFonts w:ascii="Times New Roman" w:hAnsi="Times New Roman" w:cs="Times New Roman"/>
          <w:color w:val="auto"/>
          <w:sz w:val="20"/>
          <w:szCs w:val="20"/>
        </w:rPr>
        <w:tab/>
      </w:r>
      <w:r w:rsidRPr="00102124">
        <w:rPr>
          <w:rFonts w:ascii="Times New Roman" w:hAnsi="Times New Roman" w:cs="Times New Roman"/>
          <w:color w:val="auto"/>
          <w:sz w:val="24"/>
          <w:szCs w:val="24"/>
        </w:rPr>
        <w:t>O personagem Luís Bugre</w:t>
      </w:r>
      <w:r w:rsidRPr="00102124">
        <w:rPr>
          <w:rStyle w:val="FootnoteReference"/>
          <w:rFonts w:ascii="Times New Roman" w:hAnsi="Times New Roman" w:cs="Times New Roman"/>
          <w:color w:val="auto"/>
          <w:sz w:val="24"/>
          <w:szCs w:val="24"/>
        </w:rPr>
        <w:footnoteReference w:id="26"/>
      </w:r>
      <w:r w:rsidRPr="00102124">
        <w:rPr>
          <w:rFonts w:ascii="Times New Roman" w:hAnsi="Times New Roman" w:cs="Times New Roman"/>
          <w:color w:val="auto"/>
          <w:sz w:val="24"/>
          <w:szCs w:val="24"/>
        </w:rPr>
        <w:t xml:space="preserve">, que juntamente com a família Versteeg é um dos protagonistas das obras de Ganweidt e Barbosa, fora um indivíduo constante nesta história, também residindo na Colônia de Santa Maria da Soledade e inclusive, participando da segunda expedição montada para resgatar os integrantes da família aprisionada. Gansweidt ressaltara o seguinte: </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Vagueia pela floresta ou visita as vendas destes rincões, trocando objetos, enquanto deixa mulher e um par de filinhos aos próprios cuidados. Em qualquer parte que vá, o acompanha uma forte matilha de cães ferozes que o fazem deveras temido. Menos de uma dúzia nunca o cercam. Mas, justiça lhe seja feita: tem os bichos na mão, atendem prontamente ao seu assovio e temem mais sua voz que seu chicote (GANSWEIDT, 1946, p. 41).</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0"/>
          <w:szCs w:val="20"/>
        </w:rPr>
      </w:pPr>
      <w:r w:rsidRPr="00102124">
        <w:rPr>
          <w:rFonts w:ascii="Times New Roman" w:hAnsi="Times New Roman" w:cs="Times New Roman"/>
          <w:color w:val="auto"/>
          <w:sz w:val="24"/>
          <w:szCs w:val="24"/>
        </w:rPr>
        <w:t>Em sua identidade de indígena Kaingang convivendo no mundo dos não índios, aos poucos, lhe é atribuída uma concepção negativa, sendo inclusive insinuado nas obras já mencionadas, o seu envolvimento na incursão Kaingang envolvendo a família Versteeg, no que diz respeito ao retardo da expedição nas qual participara. Neste sentido, Gansweidt retrata a face negativa de Luís Bugre através da fala do Delegado:</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A mim me parece que os bugres andam com êle de mãos dadas. Suas respostas de moleque, que mais foram do que prova de malícia e arrogância? Sem dúvida, pensa ele que estamos já meio em seu poder e dependemos de sua misericórdia. Claro que o tratante tem das suas na mioleira. Odeia-nos, bem no dizem seus olhos. Cuidado! Não vamos cair nas ciladas desse vagabundo... (GANSWEIDT, 1946, p. 128).</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Sobre o destino final da família Versteeg, Gansweidt (1946) evidencia em sua obra que Valfrida teria sido morta por indígenas através de agressões e flechadas, cujo destino em sequência a filha Maria Lucila também teria tido, embora o seu desaparecimento não fique claro na história. Segundo Laroque (2000), Jacó, teria sido cogitado a atuar como liderança indígena, pelo Cacique da parcialidade Kaingang com a qual estava convivendo, entretanto foge durante uma festividade indígena, sendo acolhido por um rico estancieiro de nome Adolfo Pacheco. Lambertus Versteeg, que teria vendido sua propriedade em Santa Maria da Soledade, e que estaria empregado em uma companhia de navegação fluvial, é encontrado mais tarde pelo filho Jacó. Barbosa (1977) relata que a morte de Valfrida teria ocorrido com forte violência, mas deixa vago as causas do desaparecimento da filha Maria Lucila. O desfecho da história, no que diz respeito à fuga de Jacó e o reencontro com o pai, se assemelha com as informações fornecidas por Gansweidt.</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No que diz respeito à questão identitária, é interessante ressaltar que a Colônia de Santa Maria da Soledade – em sua composição heterogênea - possibilitou que indivíduos assumissem identidades distintas da sua, ou até mesmo múltiplas, como é o caso de Jacó Versteeg, imigrante holandês, criado entre alemães e que compartilhou experiências com indígenas Kaingang em sua infância. Igualmente, e talvez mais expressivo, seja o caso de Luís Bugre, proveniente do grupo étnico indígena Kaingang, capturado em sua infância por colonos europeus, passando de “bugre”</w:t>
      </w:r>
      <w:r w:rsidRPr="00102124">
        <w:rPr>
          <w:rStyle w:val="FootnoteReference"/>
          <w:rFonts w:ascii="Times New Roman" w:hAnsi="Times New Roman" w:cs="Times New Roman"/>
          <w:color w:val="auto"/>
          <w:sz w:val="24"/>
          <w:szCs w:val="24"/>
        </w:rPr>
        <w:footnoteReference w:id="27"/>
      </w:r>
      <w:r w:rsidRPr="00102124">
        <w:rPr>
          <w:rFonts w:ascii="Times New Roman" w:hAnsi="Times New Roman" w:cs="Times New Roman"/>
          <w:color w:val="auto"/>
          <w:sz w:val="24"/>
          <w:szCs w:val="24"/>
        </w:rPr>
        <w:t xml:space="preserve"> para uma posição de ex-selvagem na sociedade em que estava inserido.</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partir de Woodward (2003), entende-se que a identidade é produzida por sistemas de representação que dão sentido à experiência do indivíduo e à sua constituição enquanto ser. Ou seja, a identidade é formada e transformada em relação às formas pelas quais o indivíduo é representado nos sistemas culturais que lhe rodeiam. Em relação às questões culturais, tem-se com base em Laraia (2003) em vista o dinamismo da cultura, em que conserva-se o antigo, apesar da aquisição do novo.</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Sobre a concepção do “outro”, em primeiro momento ligada ao indígena em virtude da discriminação e seu distanciamento cultural acerca do indivíduo europeu, não deve ser por si só considerado o “outro”. Entende-se que esta posição social carregada de indiferença e inferioridade, recai com o mesmo teor sobre o elemento europeu partindo do indígena, pois conforme referido os Kaingang também desenvolveram um comportamento repulsivo no momento em que passaram a “perder” seus tradicionais territórios ao elemento colonizador. Sendo assim, o “alemão” também pode assumir a posição de “outro” no contexto das relações interétnicas.</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Neste sentido, Dornelles (2011) analisando acerca da posição de “bugre” no meio social, atesta que a referida categoria pode não designar um grupo em específico, como, por exemplo, os indígenas, mas sim, significar algo mais amplo, a citar, a “indianização” de imigrantes europeus, como foi a experiência de Jacó Versteeg, logo,“[...] não se nasce bugre, estes são feitos/criados na história” (DORNELLES, 2011, p. 70), ou seja, trata-se de uma construção social.</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Mesmo assim, no âmbito das relações interétnicas, deve-se ressaltar que a interação entre grupos indígenas e</w:t>
      </w:r>
      <w:r>
        <w:rPr>
          <w:rFonts w:ascii="Times New Roman" w:hAnsi="Times New Roman" w:cs="Times New Roman"/>
          <w:color w:val="auto"/>
          <w:sz w:val="24"/>
          <w:szCs w:val="24"/>
        </w:rPr>
        <w:t xml:space="preserve"> imigrantes europeus não se deu</w:t>
      </w:r>
      <w:r w:rsidRPr="00102124">
        <w:rPr>
          <w:rFonts w:ascii="Times New Roman" w:hAnsi="Times New Roman" w:cs="Times New Roman"/>
          <w:color w:val="auto"/>
          <w:sz w:val="24"/>
          <w:szCs w:val="24"/>
        </w:rPr>
        <w:t xml:space="preserve"> somente de forma conflituosa, através de “ataques” e “pilhagens”, termos etnocêntricos que geralmente constam nos relato</w:t>
      </w:r>
      <w:r>
        <w:rPr>
          <w:rFonts w:ascii="Times New Roman" w:hAnsi="Times New Roman" w:cs="Times New Roman"/>
          <w:color w:val="auto"/>
          <w:sz w:val="24"/>
          <w:szCs w:val="24"/>
        </w:rPr>
        <w:t>s. Esta interação também ocorreu</w:t>
      </w:r>
      <w:r w:rsidRPr="00102124">
        <w:rPr>
          <w:rFonts w:ascii="Times New Roman" w:hAnsi="Times New Roman" w:cs="Times New Roman"/>
          <w:color w:val="auto"/>
          <w:sz w:val="24"/>
          <w:szCs w:val="24"/>
        </w:rPr>
        <w:t xml:space="preserve"> a partir de alianças entre indígenas Kaingang e o governo da Província, a exemplo do ocorrido na Colônia Santa Maria da Soledade em 1857, em que Madame Langedonck refere-se um guia na posição de ex-selvagem, o qual </w:t>
      </w:r>
      <w:r>
        <w:rPr>
          <w:rFonts w:ascii="Times New Roman" w:hAnsi="Times New Roman" w:cs="Times New Roman"/>
          <w:color w:val="auto"/>
          <w:sz w:val="24"/>
          <w:szCs w:val="24"/>
        </w:rPr>
        <w:t>se entende</w:t>
      </w:r>
      <w:r w:rsidRPr="00102124">
        <w:rPr>
          <w:rFonts w:ascii="Times New Roman" w:hAnsi="Times New Roman" w:cs="Times New Roman"/>
          <w:color w:val="auto"/>
          <w:sz w:val="24"/>
          <w:szCs w:val="24"/>
        </w:rPr>
        <w:t xml:space="preserve"> tratar de Luís Bugre:</w:t>
      </w:r>
    </w:p>
    <w:p w:rsidR="00C755CD" w:rsidRPr="00102124" w:rsidRDefault="00C755CD" w:rsidP="00267725">
      <w:pPr>
        <w:pStyle w:val="Normal1"/>
        <w:spacing w:before="28" w:after="198" w:line="240" w:lineRule="auto"/>
        <w:ind w:left="1701"/>
        <w:jc w:val="both"/>
        <w:rPr>
          <w:rFonts w:ascii="Times New Roman" w:hAnsi="Times New Roman" w:cs="Times New Roman"/>
          <w:color w:val="auto"/>
          <w:sz w:val="20"/>
          <w:szCs w:val="20"/>
        </w:rPr>
      </w:pPr>
      <w:r w:rsidRPr="00102124">
        <w:rPr>
          <w:rFonts w:ascii="Times New Roman" w:hAnsi="Times New Roman" w:cs="Times New Roman"/>
          <w:color w:val="auto"/>
          <w:sz w:val="20"/>
          <w:szCs w:val="20"/>
        </w:rPr>
        <w:t>O guia que veio buscar-nos no dia seguinte era um ex-selvagem. Permanecera até a idade de dezesseis anos na tribo onde nascera. Ignoro que circunstâncias o haviam quase civilizado. Ele se colocara a serviço da Sociedade, sem ocupação especial, pois um trabalho regular lhe era singularmente antipático. [...] Um dia alguém colocou em dúvida a faculdade que se atribuía a Antônio Luís, (era esse o nome do guia) [...] (LANGENDOCK, 2002, p. 44).</w:t>
      </w:r>
    </w:p>
    <w:p w:rsidR="00C755CD" w:rsidRPr="00102124" w:rsidRDefault="00C755CD" w:rsidP="00ED2447">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Neste sentido, no âmbito das relações interétnicas, e tendo por base Oliveira (1976), entende-se que estas relações mantidas entre indígenas e europeus – em todas as suas modalidades de relações interétnica, tiveram significados diferentes para cada uma das concepções culturais, visto que, possuindo significativas distinções entre si, estavam em posição de afirmar-se diante da cultura alheia. </w:t>
      </w:r>
    </w:p>
    <w:p w:rsidR="00C755CD" w:rsidRPr="00102124" w:rsidRDefault="00C755CD" w:rsidP="00267725">
      <w:pPr>
        <w:pStyle w:val="Normal1"/>
        <w:spacing w:before="28" w:after="198" w:line="240" w:lineRule="auto"/>
        <w:ind w:firstLine="720"/>
        <w:jc w:val="both"/>
        <w:rPr>
          <w:rFonts w:ascii="Times New Roman" w:hAnsi="Times New Roman" w:cs="Times New Roman"/>
          <w:color w:val="auto"/>
          <w:sz w:val="24"/>
          <w:szCs w:val="24"/>
        </w:rPr>
      </w:pPr>
    </w:p>
    <w:p w:rsidR="00C755CD" w:rsidRPr="00102124" w:rsidRDefault="00C755CD" w:rsidP="00267725">
      <w:pPr>
        <w:pStyle w:val="Normal1"/>
        <w:keepNext w:val="0"/>
        <w:spacing w:before="28" w:after="198" w:line="240" w:lineRule="auto"/>
        <w:jc w:val="both"/>
        <w:rPr>
          <w:rFonts w:ascii="Times New Roman" w:hAnsi="Times New Roman" w:cs="Times New Roman"/>
          <w:b/>
          <w:bCs/>
          <w:color w:val="auto"/>
          <w:sz w:val="24"/>
          <w:szCs w:val="24"/>
        </w:rPr>
      </w:pPr>
      <w:r w:rsidRPr="00102124">
        <w:rPr>
          <w:rFonts w:ascii="Times New Roman" w:hAnsi="Times New Roman" w:cs="Times New Roman"/>
          <w:b/>
          <w:bCs/>
          <w:color w:val="auto"/>
          <w:sz w:val="24"/>
          <w:szCs w:val="24"/>
        </w:rPr>
        <w:t>4 CONSIDERAÇÕES FINAIS</w:t>
      </w:r>
    </w:p>
    <w:p w:rsidR="00C755CD" w:rsidRPr="00102124" w:rsidRDefault="00C755CD" w:rsidP="00FD2ECD">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O </w:t>
      </w:r>
      <w:r>
        <w:rPr>
          <w:rFonts w:ascii="Times New Roman" w:hAnsi="Times New Roman" w:cs="Times New Roman"/>
          <w:color w:val="auto"/>
          <w:sz w:val="24"/>
          <w:szCs w:val="24"/>
        </w:rPr>
        <w:t xml:space="preserve">presente </w:t>
      </w:r>
      <w:r w:rsidRPr="00102124">
        <w:rPr>
          <w:rFonts w:ascii="Times New Roman" w:hAnsi="Times New Roman" w:cs="Times New Roman"/>
          <w:color w:val="auto"/>
          <w:sz w:val="24"/>
          <w:szCs w:val="24"/>
        </w:rPr>
        <w:t>estudo possibilitou constatar que os territórios correspond</w:t>
      </w:r>
      <w:r>
        <w:rPr>
          <w:rFonts w:ascii="Times New Roman" w:hAnsi="Times New Roman" w:cs="Times New Roman"/>
          <w:color w:val="auto"/>
          <w:sz w:val="24"/>
          <w:szCs w:val="24"/>
        </w:rPr>
        <w:t>entes à</w:t>
      </w:r>
      <w:r w:rsidRPr="00102124">
        <w:rPr>
          <w:rFonts w:ascii="Times New Roman" w:hAnsi="Times New Roman" w:cs="Times New Roman"/>
          <w:color w:val="auto"/>
          <w:sz w:val="24"/>
          <w:szCs w:val="24"/>
        </w:rPr>
        <w:t>s Bacias Hidrográficas Taquari-Antas e Caí, Rio Grande do Sul, foram povoados por numerosos grupos étnicos, distintos culturalmente, a exemplo, indígenas, africanos e negros escravizados, europeus e seus descendentes. Neste sentido, nota-se uma invisibilização de grupos que da mesma forma que os demais, foram personagens constantes no processo de constituição da Província de São Pedro do Rio Grande do Sul e ocupação dos territórios das Bacias Hidrográficas Taquari-Antas e Caí.</w:t>
      </w:r>
    </w:p>
    <w:p w:rsidR="00C755CD" w:rsidRPr="00102124" w:rsidRDefault="00C755CD" w:rsidP="00FD2ECD">
      <w:pPr>
        <w:pStyle w:val="Normal1"/>
        <w:keepNext w:val="0"/>
        <w:spacing w:before="28" w:after="198" w:line="360" w:lineRule="auto"/>
        <w:ind w:firstLine="720"/>
        <w:jc w:val="both"/>
        <w:rPr>
          <w:rFonts w:ascii="Times New Roman" w:hAnsi="Times New Roman" w:cs="Times New Roman"/>
          <w:sz w:val="24"/>
          <w:szCs w:val="24"/>
        </w:rPr>
      </w:pPr>
      <w:r w:rsidRPr="00102124">
        <w:rPr>
          <w:rFonts w:ascii="Times New Roman" w:hAnsi="Times New Roman" w:cs="Times New Roman"/>
          <w:color w:val="auto"/>
          <w:sz w:val="24"/>
          <w:szCs w:val="24"/>
        </w:rPr>
        <w:t xml:space="preserve">Igualmente, notou-se um emprego generalizante da denominação “imigração alemã” pela historiografia tradicional, tendo atuado de forma a homogeneizar </w:t>
      </w:r>
      <w:r w:rsidRPr="00102124">
        <w:rPr>
          <w:rFonts w:ascii="Times New Roman" w:hAnsi="Times New Roman" w:cs="Times New Roman"/>
          <w:sz w:val="24"/>
          <w:szCs w:val="24"/>
        </w:rPr>
        <w:t>uma gama de imigrantes oriundos de diferentes regiões da Europa, com aspectos culturais bastante distintos, como língua, crenças e costumes, embora adentrados no mesmo período histórico.</w:t>
      </w:r>
    </w:p>
    <w:p w:rsidR="00C755CD" w:rsidRPr="00102124" w:rsidRDefault="00C755CD" w:rsidP="00FD2ECD">
      <w:pPr>
        <w:pStyle w:val="Normal1"/>
        <w:spacing w:before="28" w:after="198" w:line="360" w:lineRule="auto"/>
        <w:ind w:firstLine="720"/>
        <w:jc w:val="both"/>
        <w:rPr>
          <w:rFonts w:ascii="Times New Roman" w:hAnsi="Times New Roman" w:cs="Times New Roman"/>
          <w:sz w:val="24"/>
          <w:szCs w:val="24"/>
        </w:rPr>
      </w:pPr>
      <w:r w:rsidRPr="00102124">
        <w:rPr>
          <w:rFonts w:ascii="Times New Roman" w:hAnsi="Times New Roman" w:cs="Times New Roman"/>
          <w:sz w:val="24"/>
          <w:szCs w:val="24"/>
        </w:rPr>
        <w:t>Esta falta de reconhecimento das diferenças culturais é percep</w:t>
      </w:r>
      <w:r>
        <w:rPr>
          <w:rFonts w:ascii="Times New Roman" w:hAnsi="Times New Roman" w:cs="Times New Roman"/>
          <w:sz w:val="24"/>
          <w:szCs w:val="24"/>
        </w:rPr>
        <w:t>tível através da forma como foi</w:t>
      </w:r>
      <w:r w:rsidRPr="00102124">
        <w:rPr>
          <w:rFonts w:ascii="Times New Roman" w:hAnsi="Times New Roman" w:cs="Times New Roman"/>
          <w:sz w:val="24"/>
          <w:szCs w:val="24"/>
        </w:rPr>
        <w:t xml:space="preserve"> conduzido o projeto de expansão do Império brasi</w:t>
      </w:r>
      <w:r>
        <w:rPr>
          <w:rFonts w:ascii="Times New Roman" w:hAnsi="Times New Roman" w:cs="Times New Roman"/>
          <w:sz w:val="24"/>
          <w:szCs w:val="24"/>
        </w:rPr>
        <w:t>leiro no século XIX, que avançou</w:t>
      </w:r>
      <w:r w:rsidRPr="00102124">
        <w:rPr>
          <w:rFonts w:ascii="Times New Roman" w:hAnsi="Times New Roman" w:cs="Times New Roman"/>
          <w:sz w:val="24"/>
          <w:szCs w:val="24"/>
        </w:rPr>
        <w:t xml:space="preserve"> sobre tradicionais territórios indígenas, neste caso, da etnia Kaingang, no intuito de colonizar áreas tidas como desabitadas. Assim, imigrantes que foram compulsoriamente instalados sob assentamentos indígenas, passaram a estabelecer relações com grupos portadores de concepções culturais extremamente distantes da sua.</w:t>
      </w:r>
    </w:p>
    <w:p w:rsidR="00C755CD" w:rsidRPr="00102124" w:rsidRDefault="00C755CD" w:rsidP="00FD2ECD">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A exemplo destes imigrantes, evidenciou-se os holandeses, contratados para ocuparem as ditas “terras devolutas”, sendo estabelecidos em colônias em formação, com maior intensidade, por exemplo, na Colônia de Santa Maria da Soledade. Estes imigrante</w:t>
      </w:r>
      <w:r>
        <w:rPr>
          <w:rFonts w:ascii="Times New Roman" w:hAnsi="Times New Roman" w:cs="Times New Roman"/>
          <w:color w:val="auto"/>
          <w:sz w:val="24"/>
          <w:szCs w:val="24"/>
        </w:rPr>
        <w:t xml:space="preserve">s, frequentemente tratados </w:t>
      </w:r>
      <w:r w:rsidRPr="00102124">
        <w:rPr>
          <w:rFonts w:ascii="Times New Roman" w:hAnsi="Times New Roman" w:cs="Times New Roman"/>
          <w:color w:val="auto"/>
          <w:sz w:val="24"/>
          <w:szCs w:val="24"/>
        </w:rPr>
        <w:t>como alemães, compuseram parte da expressão generalizante já mencionada.</w:t>
      </w:r>
    </w:p>
    <w:p w:rsidR="00C755CD" w:rsidRPr="00102124" w:rsidRDefault="00C755CD" w:rsidP="00FD2ECD">
      <w:pPr>
        <w:pStyle w:val="Normal1"/>
        <w:spacing w:before="28" w:after="198" w:line="360" w:lineRule="auto"/>
        <w:ind w:firstLine="720"/>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 É neste contexto de colonização que ocorreram os (des)encontros culturais entre Kaingang e holandeses, manifestados, na maioria das vezes,</w:t>
      </w:r>
      <w:r>
        <w:rPr>
          <w:rFonts w:ascii="Times New Roman" w:hAnsi="Times New Roman" w:cs="Times New Roman"/>
          <w:color w:val="auto"/>
          <w:sz w:val="24"/>
          <w:szCs w:val="24"/>
        </w:rPr>
        <w:t xml:space="preserve"> de forma conflituosa, como foi</w:t>
      </w:r>
      <w:r w:rsidRPr="00102124">
        <w:rPr>
          <w:rFonts w:ascii="Times New Roman" w:hAnsi="Times New Roman" w:cs="Times New Roman"/>
          <w:color w:val="auto"/>
          <w:sz w:val="24"/>
          <w:szCs w:val="24"/>
        </w:rPr>
        <w:t xml:space="preserve"> o caso da Família Versteeg, regionalmente bastante problematizado e repercutido</w:t>
      </w:r>
      <w:r>
        <w:rPr>
          <w:rFonts w:ascii="Times New Roman" w:hAnsi="Times New Roman" w:cs="Times New Roman"/>
          <w:color w:val="auto"/>
          <w:sz w:val="24"/>
          <w:szCs w:val="24"/>
        </w:rPr>
        <w:t xml:space="preserve"> no imaginário social</w:t>
      </w:r>
      <w:r w:rsidRPr="00102124">
        <w:rPr>
          <w:rFonts w:ascii="Times New Roman" w:hAnsi="Times New Roman" w:cs="Times New Roman"/>
          <w:color w:val="auto"/>
          <w:sz w:val="24"/>
          <w:szCs w:val="24"/>
        </w:rPr>
        <w:t>, até os dias atuais. Ainda assim, estas relações interétnicas resultadas do encontro de distintas et</w:t>
      </w:r>
      <w:r>
        <w:rPr>
          <w:rFonts w:ascii="Times New Roman" w:hAnsi="Times New Roman" w:cs="Times New Roman"/>
          <w:color w:val="auto"/>
          <w:sz w:val="24"/>
          <w:szCs w:val="24"/>
        </w:rPr>
        <w:t>nias no mesmo território, teve</w:t>
      </w:r>
      <w:r w:rsidRPr="00102124">
        <w:rPr>
          <w:rFonts w:ascii="Times New Roman" w:hAnsi="Times New Roman" w:cs="Times New Roman"/>
          <w:color w:val="auto"/>
          <w:sz w:val="24"/>
          <w:szCs w:val="24"/>
        </w:rPr>
        <w:t xml:space="preserve"> significados diferentes para cada uma das concepções culturais envolvidas.</w:t>
      </w:r>
    </w:p>
    <w:p w:rsidR="00C755CD" w:rsidRPr="00102124" w:rsidRDefault="00C755CD" w:rsidP="00267725">
      <w:pPr>
        <w:pStyle w:val="Normal1"/>
        <w:keepNext w:val="0"/>
        <w:spacing w:before="28" w:after="198" w:line="240" w:lineRule="auto"/>
        <w:jc w:val="both"/>
        <w:rPr>
          <w:rFonts w:ascii="Times New Roman" w:hAnsi="Times New Roman" w:cs="Times New Roman"/>
          <w:sz w:val="24"/>
          <w:szCs w:val="24"/>
        </w:rPr>
      </w:pPr>
      <w:r w:rsidRPr="00102124">
        <w:rPr>
          <w:rFonts w:ascii="Times New Roman" w:hAnsi="Times New Roman" w:cs="Times New Roman"/>
          <w:b/>
          <w:bCs/>
          <w:sz w:val="24"/>
          <w:szCs w:val="24"/>
        </w:rPr>
        <w:t>REFERÊNCIAS</w:t>
      </w:r>
    </w:p>
    <w:p w:rsidR="00C755CD" w:rsidRDefault="00C755CD" w:rsidP="008973D0">
      <w:pPr>
        <w:pStyle w:val="Normal1"/>
        <w:keepNext w:val="0"/>
        <w:spacing w:after="0" w:line="240" w:lineRule="auto"/>
        <w:jc w:val="both"/>
        <w:rPr>
          <w:rFonts w:ascii="Times New Roman" w:hAnsi="Times New Roman" w:cs="Times New Roman"/>
          <w:sz w:val="24"/>
          <w:szCs w:val="24"/>
          <w:shd w:val="clear" w:color="auto" w:fill="FFFFFF"/>
        </w:rPr>
      </w:pPr>
      <w:r w:rsidRPr="00102124">
        <w:rPr>
          <w:rFonts w:ascii="Times New Roman" w:hAnsi="Times New Roman" w:cs="Times New Roman"/>
          <w:sz w:val="24"/>
          <w:szCs w:val="24"/>
          <w:shd w:val="clear" w:color="auto" w:fill="FFFFFF"/>
        </w:rPr>
        <w:t>AMSTAD, Theodor. </w:t>
      </w:r>
      <w:r w:rsidRPr="00102124">
        <w:rPr>
          <w:rFonts w:ascii="Times New Roman" w:hAnsi="Times New Roman" w:cs="Times New Roman"/>
          <w:i/>
          <w:iCs/>
          <w:sz w:val="24"/>
          <w:szCs w:val="24"/>
          <w:shd w:val="clear" w:color="auto" w:fill="FFFFFF"/>
        </w:rPr>
        <w:t>Cem anos de germaneidade no Rio Grande do Sul (1824-1924)</w:t>
      </w:r>
      <w:r w:rsidRPr="00102124">
        <w:rPr>
          <w:rFonts w:ascii="Times New Roman" w:hAnsi="Times New Roman" w:cs="Times New Roman"/>
          <w:sz w:val="24"/>
          <w:szCs w:val="24"/>
          <w:shd w:val="clear" w:color="auto" w:fill="FFFFFF"/>
        </w:rPr>
        <w:t>.</w:t>
      </w:r>
      <w:r w:rsidRPr="00102124">
        <w:rPr>
          <w:rFonts w:ascii="Times New Roman" w:hAnsi="Times New Roman" w:cs="Times New Roman"/>
          <w:b/>
          <w:bCs/>
          <w:sz w:val="24"/>
          <w:szCs w:val="24"/>
          <w:shd w:val="clear" w:color="auto" w:fill="FFFFFF"/>
        </w:rPr>
        <w:t> </w:t>
      </w:r>
      <w:r w:rsidRPr="00102124">
        <w:rPr>
          <w:rFonts w:ascii="Times New Roman" w:hAnsi="Times New Roman" w:cs="Times New Roman"/>
          <w:sz w:val="24"/>
          <w:szCs w:val="24"/>
          <w:shd w:val="clear" w:color="auto" w:fill="FFFFFF"/>
        </w:rPr>
        <w:t>Trad. Arthur Blasio Rambo. São Leopoldo: Ed.Unisinos, 1999.</w:t>
      </w:r>
    </w:p>
    <w:p w:rsidR="00C755CD" w:rsidRPr="00102124" w:rsidRDefault="00C755CD" w:rsidP="008973D0">
      <w:pPr>
        <w:pStyle w:val="Normal1"/>
        <w:keepNext w:val="0"/>
        <w:spacing w:after="0" w:line="240" w:lineRule="auto"/>
        <w:jc w:val="both"/>
        <w:rPr>
          <w:rFonts w:ascii="Times New Roman" w:hAnsi="Times New Roman" w:cs="Times New Roman"/>
          <w:color w:val="auto"/>
          <w:sz w:val="24"/>
          <w:szCs w:val="24"/>
        </w:rPr>
      </w:pPr>
    </w:p>
    <w:p w:rsidR="00C755CD" w:rsidRDefault="00C755CD" w:rsidP="008973D0">
      <w:pPr>
        <w:pStyle w:val="Normal1"/>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BARBOSA, Fidélis Dalcin. </w:t>
      </w:r>
      <w:r w:rsidRPr="00102124">
        <w:rPr>
          <w:rFonts w:ascii="Times New Roman" w:hAnsi="Times New Roman" w:cs="Times New Roman"/>
          <w:i/>
          <w:iCs/>
          <w:sz w:val="24"/>
          <w:szCs w:val="24"/>
        </w:rPr>
        <w:t>Luís B</w:t>
      </w:r>
      <w:r w:rsidRPr="00102124">
        <w:rPr>
          <w:rFonts w:ascii="Times New Roman" w:hAnsi="Times New Roman" w:cs="Times New Roman"/>
          <w:sz w:val="24"/>
          <w:szCs w:val="24"/>
        </w:rPr>
        <w:t>ugre: o indígena diante dos imigrantes alemães. 1977.</w:t>
      </w:r>
    </w:p>
    <w:p w:rsidR="00C755CD" w:rsidRPr="00102124" w:rsidRDefault="00C755CD" w:rsidP="008973D0">
      <w:pPr>
        <w:pStyle w:val="Normal1"/>
        <w:spacing w:after="0" w:line="240" w:lineRule="auto"/>
        <w:jc w:val="both"/>
        <w:rPr>
          <w:rFonts w:ascii="Times New Roman" w:hAnsi="Times New Roman" w:cs="Times New Roman"/>
          <w:sz w:val="24"/>
          <w:szCs w:val="24"/>
        </w:rPr>
      </w:pPr>
    </w:p>
    <w:p w:rsidR="00C755CD"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BARTH, Frederik. Os grupos étnicos e suas fronteiras. IN: BARTH, Frederik. LASK, Tomke (org.). </w:t>
      </w:r>
      <w:r w:rsidRPr="00102124">
        <w:rPr>
          <w:rFonts w:ascii="Times New Roman" w:hAnsi="Times New Roman" w:cs="Times New Roman"/>
          <w:i/>
          <w:iCs/>
          <w:sz w:val="24"/>
          <w:szCs w:val="24"/>
        </w:rPr>
        <w:t>O Guru, o iniciador e outras variações antropológicas</w:t>
      </w:r>
      <w:r w:rsidRPr="00102124">
        <w:rPr>
          <w:rFonts w:ascii="Times New Roman" w:hAnsi="Times New Roman" w:cs="Times New Roman"/>
          <w:sz w:val="24"/>
          <w:szCs w:val="24"/>
        </w:rPr>
        <w:t>.</w:t>
      </w:r>
      <w:r w:rsidRPr="00102124">
        <w:rPr>
          <w:rFonts w:ascii="Times New Roman" w:hAnsi="Times New Roman" w:cs="Times New Roman"/>
          <w:b/>
          <w:bCs/>
          <w:sz w:val="24"/>
          <w:szCs w:val="24"/>
        </w:rPr>
        <w:t xml:space="preserve"> </w:t>
      </w:r>
      <w:r w:rsidRPr="00102124">
        <w:rPr>
          <w:rFonts w:ascii="Times New Roman" w:hAnsi="Times New Roman" w:cs="Times New Roman"/>
          <w:sz w:val="24"/>
          <w:szCs w:val="24"/>
        </w:rPr>
        <w:t xml:space="preserve">Tradução de John Cunha Comerford. Rio de Janeiro: Contracapa,  ([1969] 2000) p. 25-67.  </w:t>
      </w: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p>
    <w:p w:rsidR="00C755CD"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BECKER, Ítala Irene Basile. </w:t>
      </w:r>
      <w:r w:rsidRPr="00102124">
        <w:rPr>
          <w:rFonts w:ascii="Times New Roman" w:hAnsi="Times New Roman" w:cs="Times New Roman"/>
          <w:i/>
          <w:iCs/>
          <w:sz w:val="24"/>
          <w:szCs w:val="24"/>
        </w:rPr>
        <w:t>O índio Kaingáng no Rio Grande do Sul</w:t>
      </w:r>
      <w:r w:rsidRPr="00102124">
        <w:rPr>
          <w:rFonts w:ascii="Times New Roman" w:hAnsi="Times New Roman" w:cs="Times New Roman"/>
          <w:sz w:val="24"/>
          <w:szCs w:val="24"/>
        </w:rPr>
        <w:t>.</w:t>
      </w:r>
      <w:r w:rsidRPr="00102124">
        <w:rPr>
          <w:rFonts w:ascii="Times New Roman" w:hAnsi="Times New Roman" w:cs="Times New Roman"/>
          <w:b/>
          <w:bCs/>
          <w:sz w:val="24"/>
          <w:szCs w:val="24"/>
        </w:rPr>
        <w:t xml:space="preserve"> </w:t>
      </w:r>
      <w:r w:rsidRPr="00102124">
        <w:rPr>
          <w:rFonts w:ascii="Times New Roman" w:hAnsi="Times New Roman" w:cs="Times New Roman"/>
          <w:sz w:val="24"/>
          <w:szCs w:val="24"/>
        </w:rPr>
        <w:t xml:space="preserve">São Leopoldo-RS: Instituto Anchietano de Pesquisas/UNISINOS, [1976] 1995. </w:t>
      </w: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p>
    <w:p w:rsidR="00C755CD"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CHRISTILLINO, Christiano. </w:t>
      </w:r>
      <w:r w:rsidRPr="00102124">
        <w:rPr>
          <w:rFonts w:ascii="Times New Roman" w:hAnsi="Times New Roman" w:cs="Times New Roman"/>
          <w:i/>
          <w:iCs/>
          <w:sz w:val="24"/>
          <w:szCs w:val="24"/>
        </w:rPr>
        <w:t>Estranhos em seu próprio chão</w:t>
      </w:r>
      <w:r w:rsidRPr="00102124">
        <w:rPr>
          <w:rFonts w:ascii="Times New Roman" w:hAnsi="Times New Roman" w:cs="Times New Roman"/>
          <w:sz w:val="24"/>
          <w:szCs w:val="24"/>
        </w:rPr>
        <w:t>: o processo de apropriações de terras na Província de São Pedro do Rio Grande do Sul (o Vale do Taquari no período 1840-1889). 2004, 374 f. Dissertação (Mestrado em História da América latina) – UNISINOS, São Leopoldo, 2004.</w:t>
      </w: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p>
    <w:p w:rsidR="00C755CD" w:rsidRDefault="00C755CD" w:rsidP="008973D0">
      <w:pPr>
        <w:pStyle w:val="Normal1"/>
        <w:spacing w:after="0" w:line="24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CÓDICE 234 - Nº 6-1 Registro de Entrada da família de Francisco Alberg de 28 de novembro de 1858. In: CÓDICE 234. Livro de registros de colonos chegado à Província de São Pedro do Rio Grande do Sul (1857-1863). </w:t>
      </w:r>
      <w:r w:rsidRPr="00102124">
        <w:rPr>
          <w:rFonts w:ascii="Times New Roman" w:hAnsi="Times New Roman" w:cs="Times New Roman"/>
          <w:i/>
          <w:iCs/>
          <w:color w:val="auto"/>
          <w:sz w:val="24"/>
          <w:szCs w:val="24"/>
        </w:rPr>
        <w:t>AHRS</w:t>
      </w:r>
      <w:r w:rsidRPr="00102124">
        <w:rPr>
          <w:rFonts w:ascii="Times New Roman" w:hAnsi="Times New Roman" w:cs="Times New Roman"/>
          <w:color w:val="auto"/>
          <w:sz w:val="24"/>
          <w:szCs w:val="24"/>
        </w:rPr>
        <w:t>. Fundo Imigração, Terras e Colonização, nº 6-10, p. 64.</w:t>
      </w:r>
    </w:p>
    <w:p w:rsidR="00C755CD" w:rsidRPr="00102124" w:rsidRDefault="00C755CD" w:rsidP="008973D0">
      <w:pPr>
        <w:pStyle w:val="Normal1"/>
        <w:spacing w:after="0" w:line="240" w:lineRule="auto"/>
        <w:jc w:val="both"/>
        <w:rPr>
          <w:rFonts w:ascii="Times New Roman" w:hAnsi="Times New Roman" w:cs="Times New Roman"/>
          <w:color w:val="auto"/>
          <w:sz w:val="24"/>
          <w:szCs w:val="24"/>
        </w:rPr>
      </w:pPr>
    </w:p>
    <w:p w:rsidR="00C755CD" w:rsidRDefault="00C755CD" w:rsidP="008973D0">
      <w:pPr>
        <w:pStyle w:val="Normal1"/>
        <w:spacing w:after="0" w:line="24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CÓDICE 234 </w:t>
      </w:r>
      <w:r w:rsidRPr="00102124">
        <w:rPr>
          <w:rFonts w:ascii="Times New Roman" w:hAnsi="Times New Roman" w:cs="Times New Roman"/>
          <w:color w:val="auto"/>
          <w:sz w:val="20"/>
          <w:szCs w:val="20"/>
        </w:rPr>
        <w:t xml:space="preserve">- Nº 40-48. </w:t>
      </w:r>
      <w:r w:rsidRPr="00102124">
        <w:rPr>
          <w:rFonts w:ascii="Times New Roman" w:hAnsi="Times New Roman" w:cs="Times New Roman"/>
          <w:color w:val="auto"/>
          <w:sz w:val="24"/>
          <w:szCs w:val="24"/>
        </w:rPr>
        <w:t xml:space="preserve">Registro de Entrada da família de João Dierings de 05 de setembro de 1858. In: CÓDICE 234. Livro de registros de colonos chegado à Província de São Pedro do Rio Grande do Sul (1857-1863). </w:t>
      </w:r>
      <w:r w:rsidRPr="00102124">
        <w:rPr>
          <w:rFonts w:ascii="Times New Roman" w:hAnsi="Times New Roman" w:cs="Times New Roman"/>
          <w:i/>
          <w:iCs/>
          <w:color w:val="auto"/>
          <w:sz w:val="24"/>
          <w:szCs w:val="24"/>
        </w:rPr>
        <w:t>AHRS</w:t>
      </w:r>
      <w:r w:rsidRPr="00102124">
        <w:rPr>
          <w:rFonts w:ascii="Times New Roman" w:hAnsi="Times New Roman" w:cs="Times New Roman"/>
          <w:color w:val="auto"/>
          <w:sz w:val="24"/>
          <w:szCs w:val="24"/>
        </w:rPr>
        <w:t>. Fundo Imigração, Terras e Colonização, nº 40-48, p. 43.</w:t>
      </w:r>
    </w:p>
    <w:p w:rsidR="00C755CD" w:rsidRPr="00102124" w:rsidRDefault="00C755CD" w:rsidP="008973D0">
      <w:pPr>
        <w:pStyle w:val="Normal1"/>
        <w:spacing w:after="0" w:line="240" w:lineRule="auto"/>
        <w:jc w:val="both"/>
        <w:rPr>
          <w:rFonts w:ascii="Times New Roman" w:hAnsi="Times New Roman" w:cs="Times New Roman"/>
          <w:color w:val="auto"/>
          <w:sz w:val="24"/>
          <w:szCs w:val="24"/>
        </w:rPr>
      </w:pPr>
    </w:p>
    <w:p w:rsidR="00C755CD" w:rsidRDefault="00C755CD" w:rsidP="008973D0">
      <w:pPr>
        <w:pStyle w:val="Normal1"/>
        <w:spacing w:after="0" w:line="24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CÓDICE 234, Nº 56-58,</w:t>
      </w:r>
      <w:r w:rsidRPr="00102124">
        <w:rPr>
          <w:rFonts w:ascii="Times New Roman" w:hAnsi="Times New Roman" w:cs="Times New Roman"/>
          <w:color w:val="auto"/>
          <w:sz w:val="20"/>
          <w:szCs w:val="20"/>
        </w:rPr>
        <w:t xml:space="preserve"> </w:t>
      </w:r>
      <w:r w:rsidRPr="00102124">
        <w:rPr>
          <w:rFonts w:ascii="Times New Roman" w:hAnsi="Times New Roman" w:cs="Times New Roman"/>
          <w:color w:val="auto"/>
          <w:sz w:val="24"/>
          <w:szCs w:val="24"/>
        </w:rPr>
        <w:t xml:space="preserve">Registro de Entrada da família de Lambert Vetzsteg de 03 de outubro de 1858. In: CÓDICE 234. Livro de registros de colonos chegado à Província de São Pedro do Rio Grande do Sul (1857-1863). </w:t>
      </w:r>
      <w:r w:rsidRPr="008973D0">
        <w:rPr>
          <w:rFonts w:ascii="Times New Roman" w:hAnsi="Times New Roman" w:cs="Times New Roman"/>
          <w:i/>
          <w:iCs/>
          <w:color w:val="auto"/>
          <w:sz w:val="24"/>
          <w:szCs w:val="24"/>
        </w:rPr>
        <w:t>AHRS</w:t>
      </w:r>
      <w:r w:rsidRPr="00102124">
        <w:rPr>
          <w:rFonts w:ascii="Times New Roman" w:hAnsi="Times New Roman" w:cs="Times New Roman"/>
          <w:color w:val="auto"/>
          <w:sz w:val="24"/>
          <w:szCs w:val="24"/>
        </w:rPr>
        <w:t>. Fundo Imigração, Terras e Colonização, nº 56-58, p. 47.</w:t>
      </w:r>
    </w:p>
    <w:p w:rsidR="00C755CD" w:rsidRPr="00102124" w:rsidRDefault="00C755CD" w:rsidP="008973D0">
      <w:pPr>
        <w:pStyle w:val="Normal1"/>
        <w:spacing w:after="0" w:line="240" w:lineRule="auto"/>
        <w:jc w:val="both"/>
        <w:rPr>
          <w:rFonts w:ascii="Times New Roman" w:hAnsi="Times New Roman" w:cs="Times New Roman"/>
          <w:color w:val="auto"/>
          <w:sz w:val="24"/>
          <w:szCs w:val="24"/>
        </w:rPr>
      </w:pPr>
    </w:p>
    <w:p w:rsidR="00C755CD"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CÓDICE 313. Livro de lotes da Ex-Colônia Santa Maria da Soledade. Fundo Imigração, Terras e Colonização, </w:t>
      </w:r>
      <w:r w:rsidRPr="00102124">
        <w:rPr>
          <w:rFonts w:ascii="Times New Roman" w:hAnsi="Times New Roman" w:cs="Times New Roman"/>
          <w:i/>
          <w:iCs/>
          <w:sz w:val="24"/>
          <w:szCs w:val="24"/>
        </w:rPr>
        <w:t>AHRS</w:t>
      </w:r>
      <w:r w:rsidRPr="00102124">
        <w:rPr>
          <w:rFonts w:ascii="Times New Roman" w:hAnsi="Times New Roman" w:cs="Times New Roman"/>
          <w:sz w:val="24"/>
          <w:szCs w:val="24"/>
        </w:rPr>
        <w:t>.</w:t>
      </w:r>
      <w:r>
        <w:rPr>
          <w:rFonts w:ascii="Times New Roman" w:hAnsi="Times New Roman" w:cs="Times New Roman"/>
          <w:sz w:val="24"/>
          <w:szCs w:val="24"/>
        </w:rPr>
        <w:t xml:space="preserve"> Porto Alegre.</w:t>
      </w: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p>
    <w:p w:rsidR="00C755CD"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CONTRATO de 30 de dezembro de 1854. Fundo Imigração, Terras e Colonização, maço 35, caixa 20, </w:t>
      </w:r>
      <w:r w:rsidRPr="00102124">
        <w:rPr>
          <w:rFonts w:ascii="Times New Roman" w:hAnsi="Times New Roman" w:cs="Times New Roman"/>
          <w:i/>
          <w:iCs/>
          <w:sz w:val="24"/>
          <w:szCs w:val="24"/>
        </w:rPr>
        <w:t>AHRS</w:t>
      </w:r>
      <w:r w:rsidRPr="00102124">
        <w:rPr>
          <w:rFonts w:ascii="Times New Roman" w:hAnsi="Times New Roman" w:cs="Times New Roman"/>
          <w:sz w:val="24"/>
          <w:szCs w:val="24"/>
        </w:rPr>
        <w:t>.</w:t>
      </w:r>
      <w:r>
        <w:rPr>
          <w:rFonts w:ascii="Times New Roman" w:hAnsi="Times New Roman" w:cs="Times New Roman"/>
          <w:sz w:val="24"/>
          <w:szCs w:val="24"/>
        </w:rPr>
        <w:t xml:space="preserve"> Porto Alegre.</w:t>
      </w: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p>
    <w:p w:rsidR="00C755CD" w:rsidRPr="00102124" w:rsidRDefault="00C755CD" w:rsidP="008973D0">
      <w:pPr>
        <w:pStyle w:val="Normal1"/>
        <w:keepNext w:val="0"/>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CONTRATO de 06 de fevereiro de 1855. Fundo Imigração, Terras e Colonização, maço 35, caixa 20, AHRS.</w:t>
      </w:r>
      <w:r>
        <w:rPr>
          <w:rFonts w:ascii="Times New Roman" w:hAnsi="Times New Roman" w:cs="Times New Roman"/>
          <w:sz w:val="24"/>
          <w:szCs w:val="24"/>
        </w:rPr>
        <w:t xml:space="preserve"> Porto Alegre.</w:t>
      </w:r>
    </w:p>
    <w:p w:rsidR="00C755CD" w:rsidRDefault="00C755CD" w:rsidP="008973D0">
      <w:pPr>
        <w:pStyle w:val="Normal1"/>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CORREA, Sílvio Marcus de Souza. Multiculturalismo e Fronteiras Étnicas. In: BOEIRA, Nelson; GOLIN, Tau; (Coords). </w:t>
      </w:r>
      <w:r w:rsidRPr="00102124">
        <w:rPr>
          <w:rFonts w:ascii="Times New Roman" w:hAnsi="Times New Roman" w:cs="Times New Roman"/>
          <w:i/>
          <w:iCs/>
          <w:sz w:val="24"/>
          <w:szCs w:val="24"/>
        </w:rPr>
        <w:t>Império</w:t>
      </w:r>
      <w:r w:rsidRPr="00102124">
        <w:rPr>
          <w:rFonts w:ascii="Times New Roman" w:hAnsi="Times New Roman" w:cs="Times New Roman"/>
          <w:sz w:val="24"/>
          <w:szCs w:val="24"/>
        </w:rPr>
        <w:t>. Passo Fundo: Méritos, 2006.</w:t>
      </w:r>
    </w:p>
    <w:p w:rsidR="00C755CD" w:rsidRPr="00102124" w:rsidRDefault="00C755CD" w:rsidP="008973D0">
      <w:pPr>
        <w:pStyle w:val="Normal1"/>
        <w:spacing w:after="0" w:line="240" w:lineRule="auto"/>
        <w:jc w:val="both"/>
        <w:rPr>
          <w:rFonts w:ascii="Times New Roman" w:hAnsi="Times New Roman" w:cs="Times New Roman"/>
          <w:sz w:val="24"/>
          <w:szCs w:val="24"/>
        </w:rPr>
      </w:pPr>
    </w:p>
    <w:p w:rsidR="00C755CD" w:rsidRDefault="00C755CD" w:rsidP="008973D0">
      <w:pPr>
        <w:pStyle w:val="Normal1"/>
        <w:spacing w:after="0" w:line="240" w:lineRule="auto"/>
        <w:jc w:val="both"/>
        <w:rPr>
          <w:rFonts w:ascii="Times New Roman" w:hAnsi="Times New Roman" w:cs="Times New Roman"/>
          <w:sz w:val="24"/>
          <w:szCs w:val="24"/>
        </w:rPr>
      </w:pPr>
      <w:r w:rsidRPr="00533264">
        <w:rPr>
          <w:rFonts w:ascii="Times New Roman" w:hAnsi="Times New Roman" w:cs="Times New Roman"/>
          <w:sz w:val="24"/>
          <w:szCs w:val="24"/>
          <w:lang w:val="en-US"/>
        </w:rPr>
        <w:t xml:space="preserve">DEUTCHES VOLKSBLATT. Ein Brief aus dem Jahre 1832. </w:t>
      </w:r>
      <w:r w:rsidRPr="00102124">
        <w:rPr>
          <w:rFonts w:ascii="Times New Roman" w:hAnsi="Times New Roman" w:cs="Times New Roman"/>
          <w:sz w:val="24"/>
          <w:szCs w:val="24"/>
        </w:rPr>
        <w:t xml:space="preserve">São Leopoldo, 01 mai. 1934, </w:t>
      </w:r>
      <w:r w:rsidRPr="00102124">
        <w:rPr>
          <w:rFonts w:ascii="Times New Roman" w:hAnsi="Times New Roman" w:cs="Times New Roman"/>
          <w:i/>
          <w:iCs/>
          <w:sz w:val="24"/>
          <w:szCs w:val="24"/>
        </w:rPr>
        <w:t>Instituto Anchietano de Pesquisas</w:t>
      </w:r>
      <w:r w:rsidRPr="00102124">
        <w:rPr>
          <w:rFonts w:ascii="Times New Roman" w:hAnsi="Times New Roman" w:cs="Times New Roman"/>
          <w:sz w:val="24"/>
          <w:szCs w:val="24"/>
        </w:rPr>
        <w:t>.</w:t>
      </w:r>
    </w:p>
    <w:p w:rsidR="00C755CD" w:rsidRPr="00102124" w:rsidRDefault="00C755CD" w:rsidP="008973D0">
      <w:pPr>
        <w:pStyle w:val="Normal1"/>
        <w:spacing w:after="0" w:line="240" w:lineRule="auto"/>
        <w:jc w:val="both"/>
        <w:rPr>
          <w:rFonts w:ascii="Times New Roman" w:hAnsi="Times New Roman" w:cs="Times New Roman"/>
          <w:sz w:val="24"/>
          <w:szCs w:val="24"/>
        </w:rPr>
      </w:pPr>
    </w:p>
    <w:p w:rsidR="00C755CD" w:rsidRDefault="00C755CD" w:rsidP="008973D0">
      <w:pPr>
        <w:pStyle w:val="Normal1"/>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DORNELLES, Soraia Sales. </w:t>
      </w:r>
      <w:r w:rsidRPr="00102124">
        <w:rPr>
          <w:rFonts w:ascii="Times New Roman" w:hAnsi="Times New Roman" w:cs="Times New Roman"/>
          <w:i/>
          <w:iCs/>
          <w:sz w:val="24"/>
          <w:szCs w:val="24"/>
        </w:rPr>
        <w:t>De Coroados a Kaingang</w:t>
      </w:r>
      <w:r w:rsidRPr="00102124">
        <w:rPr>
          <w:rFonts w:ascii="Times New Roman" w:hAnsi="Times New Roman" w:cs="Times New Roman"/>
          <w:sz w:val="24"/>
          <w:szCs w:val="24"/>
        </w:rPr>
        <w:t>: as experiências vividas pelos indígenas no contexto da imigração alemã e italiana no Rio Grande do Sul do século XIX e início do XX. 2011, 134 f. Dissertação (Mestrado em História) – Universidade Federal do Rio Grande do Sul (URGS), Porto Alegre, 2011.</w:t>
      </w:r>
    </w:p>
    <w:p w:rsidR="00C755CD" w:rsidRPr="00102124" w:rsidRDefault="00C755CD" w:rsidP="008973D0">
      <w:pPr>
        <w:pStyle w:val="Normal1"/>
        <w:spacing w:after="0" w:line="240" w:lineRule="auto"/>
        <w:jc w:val="both"/>
        <w:rPr>
          <w:rFonts w:ascii="Times New Roman" w:hAnsi="Times New Roman" w:cs="Times New Roman"/>
          <w:sz w:val="24"/>
          <w:szCs w:val="24"/>
        </w:rPr>
      </w:pPr>
    </w:p>
    <w:p w:rsidR="00C755CD" w:rsidRPr="00102124" w:rsidRDefault="00C755CD" w:rsidP="008973D0">
      <w:pPr>
        <w:pStyle w:val="Normal1"/>
        <w:spacing w:after="0" w:line="240" w:lineRule="auto"/>
        <w:jc w:val="both"/>
        <w:rPr>
          <w:rFonts w:ascii="Times New Roman" w:hAnsi="Times New Roman" w:cs="Times New Roman"/>
          <w:sz w:val="24"/>
          <w:szCs w:val="24"/>
          <w:lang w:val="de-DE"/>
        </w:rPr>
      </w:pPr>
      <w:r w:rsidRPr="00102124">
        <w:rPr>
          <w:rFonts w:ascii="Times New Roman" w:hAnsi="Times New Roman" w:cs="Times New Roman"/>
          <w:sz w:val="24"/>
          <w:szCs w:val="24"/>
        </w:rPr>
        <w:t xml:space="preserve">CORREA, Sílvio Marcus de Souza. Multiculturalismo e Fronteiras Étnicas. In: BOEIRA, Nelson; GOLIN, Tau; (Coords). </w:t>
      </w:r>
      <w:r w:rsidRPr="00102124">
        <w:rPr>
          <w:rFonts w:ascii="Times New Roman" w:hAnsi="Times New Roman" w:cs="Times New Roman"/>
          <w:i/>
          <w:iCs/>
          <w:sz w:val="24"/>
          <w:szCs w:val="24"/>
          <w:lang w:val="de-DE"/>
        </w:rPr>
        <w:t>Império</w:t>
      </w:r>
      <w:r w:rsidRPr="00102124">
        <w:rPr>
          <w:rFonts w:ascii="Times New Roman" w:hAnsi="Times New Roman" w:cs="Times New Roman"/>
          <w:sz w:val="24"/>
          <w:szCs w:val="24"/>
          <w:lang w:val="de-DE"/>
        </w:rPr>
        <w:t>. Passo Fundo: Méritos, 2006.</w:t>
      </w:r>
    </w:p>
    <w:p w:rsidR="00C755CD" w:rsidRPr="00102124" w:rsidRDefault="00C755CD" w:rsidP="008973D0">
      <w:pPr>
        <w:keepNext w:val="0"/>
        <w:widowControl/>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GANSWEIDT, Matias José. </w:t>
      </w:r>
      <w:r w:rsidRPr="00102124">
        <w:rPr>
          <w:rFonts w:ascii="Times New Roman" w:hAnsi="Times New Roman" w:cs="Times New Roman"/>
          <w:i/>
          <w:iCs/>
          <w:sz w:val="24"/>
          <w:szCs w:val="24"/>
        </w:rPr>
        <w:t>As vítimas do Bugre</w:t>
      </w:r>
      <w:r w:rsidRPr="00102124">
        <w:rPr>
          <w:rFonts w:ascii="Times New Roman" w:hAnsi="Times New Roman" w:cs="Times New Roman"/>
          <w:sz w:val="24"/>
          <w:szCs w:val="24"/>
        </w:rPr>
        <w:t xml:space="preserve">. Porto Alegre: Selbach, 1946. </w:t>
      </w:r>
    </w:p>
    <w:p w:rsidR="00C755CD" w:rsidRPr="00102124" w:rsidRDefault="00C755CD" w:rsidP="008973D0">
      <w:pPr>
        <w:keepNext w:val="0"/>
        <w:widowControl/>
        <w:spacing w:after="0" w:line="240" w:lineRule="auto"/>
        <w:jc w:val="both"/>
        <w:rPr>
          <w:rFonts w:ascii="Times New Roman" w:hAnsi="Times New Roman" w:cs="Times New Roman"/>
          <w:sz w:val="24"/>
          <w:szCs w:val="24"/>
        </w:rPr>
      </w:pPr>
    </w:p>
    <w:p w:rsidR="00C755CD" w:rsidRPr="00102124" w:rsidRDefault="00C755CD" w:rsidP="008973D0">
      <w:pPr>
        <w:keepNext w:val="0"/>
        <w:widowControl/>
        <w:autoSpaceDE w:val="0"/>
        <w:autoSpaceDN w:val="0"/>
        <w:adjustRightInd w:val="0"/>
        <w:spacing w:after="0" w:line="240" w:lineRule="auto"/>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GREGORY, Josemir. </w:t>
      </w:r>
      <w:r w:rsidRPr="00102124">
        <w:rPr>
          <w:rFonts w:ascii="Times New Roman" w:hAnsi="Times New Roman" w:cs="Times New Roman"/>
          <w:i/>
          <w:iCs/>
          <w:color w:val="auto"/>
          <w:sz w:val="24"/>
          <w:szCs w:val="24"/>
        </w:rPr>
        <w:t>Fazenda da Estrella</w:t>
      </w:r>
      <w:r w:rsidRPr="00102124">
        <w:rPr>
          <w:rFonts w:ascii="Times New Roman" w:hAnsi="Times New Roman" w:cs="Times New Roman"/>
          <w:color w:val="auto"/>
          <w:sz w:val="24"/>
          <w:szCs w:val="24"/>
        </w:rPr>
        <w:t>:</w:t>
      </w:r>
      <w:r w:rsidRPr="00102124">
        <w:rPr>
          <w:rFonts w:ascii="Times New Roman" w:hAnsi="Times New Roman" w:cs="Times New Roman"/>
          <w:b/>
          <w:bCs/>
          <w:color w:val="auto"/>
          <w:sz w:val="24"/>
          <w:szCs w:val="24"/>
        </w:rPr>
        <w:t xml:space="preserve"> </w:t>
      </w:r>
      <w:r w:rsidRPr="00102124">
        <w:rPr>
          <w:rFonts w:ascii="Times New Roman" w:hAnsi="Times New Roman" w:cs="Times New Roman"/>
          <w:color w:val="auto"/>
          <w:sz w:val="24"/>
          <w:szCs w:val="24"/>
        </w:rPr>
        <w:t>um estudo de caso envolvendo posse territorial e negociações no sul do Brasil no século XIX. 53 f. Monografia (Curso de História). Lajeado: UNIVATES, 2015.</w:t>
      </w:r>
    </w:p>
    <w:p w:rsidR="00C755CD" w:rsidRPr="00102124" w:rsidRDefault="00C755CD" w:rsidP="008973D0">
      <w:pPr>
        <w:keepNext w:val="0"/>
        <w:widowControl/>
        <w:autoSpaceDE w:val="0"/>
        <w:autoSpaceDN w:val="0"/>
        <w:adjustRightInd w:val="0"/>
        <w:spacing w:after="0" w:line="240" w:lineRule="auto"/>
        <w:rPr>
          <w:rFonts w:ascii="Times New Roman" w:hAnsi="Times New Roman" w:cs="Times New Roman"/>
          <w:color w:val="auto"/>
          <w:sz w:val="24"/>
          <w:szCs w:val="24"/>
        </w:rPr>
      </w:pPr>
    </w:p>
    <w:p w:rsidR="00C755CD" w:rsidRDefault="00C755CD" w:rsidP="008973D0">
      <w:pPr>
        <w:pStyle w:val="Normal1"/>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IECLB. Registro de Casamento de Christian te Roller de 18 de abril de 1876. Livro de Registros Eclesiásticos – Casamentos (1862-1864), IECLB São Vendelino, nº 13, p. 341, </w:t>
      </w:r>
      <w:r w:rsidRPr="00102124">
        <w:rPr>
          <w:rFonts w:ascii="Times New Roman" w:hAnsi="Times New Roman" w:cs="Times New Roman"/>
          <w:i/>
          <w:iCs/>
          <w:sz w:val="24"/>
          <w:szCs w:val="24"/>
        </w:rPr>
        <w:t>Acervo Genealogia RS</w:t>
      </w:r>
      <w:r w:rsidRPr="00102124">
        <w:rPr>
          <w:rFonts w:ascii="Times New Roman" w:hAnsi="Times New Roman" w:cs="Times New Roman"/>
          <w:sz w:val="24"/>
          <w:szCs w:val="24"/>
        </w:rPr>
        <w:t>.</w:t>
      </w:r>
    </w:p>
    <w:p w:rsidR="00C755CD" w:rsidRPr="00102124" w:rsidRDefault="00C755CD" w:rsidP="008973D0">
      <w:pPr>
        <w:pStyle w:val="Normal1"/>
        <w:spacing w:after="0" w:line="240" w:lineRule="auto"/>
        <w:jc w:val="both"/>
        <w:rPr>
          <w:rFonts w:ascii="Times New Roman" w:hAnsi="Times New Roman" w:cs="Times New Roman"/>
          <w:sz w:val="24"/>
          <w:szCs w:val="24"/>
        </w:rPr>
      </w:pPr>
    </w:p>
    <w:p w:rsidR="00C755CD" w:rsidRDefault="00C755CD" w:rsidP="008973D0">
      <w:pPr>
        <w:pStyle w:val="Normal1"/>
        <w:spacing w:after="0" w:line="240" w:lineRule="auto"/>
        <w:jc w:val="both"/>
        <w:rPr>
          <w:rFonts w:ascii="Times New Roman" w:hAnsi="Times New Roman" w:cs="Times New Roman"/>
          <w:i/>
          <w:iCs/>
          <w:sz w:val="24"/>
          <w:szCs w:val="24"/>
        </w:rPr>
      </w:pPr>
      <w:r w:rsidRPr="00102124">
        <w:rPr>
          <w:rFonts w:ascii="Times New Roman" w:hAnsi="Times New Roman" w:cs="Times New Roman"/>
          <w:sz w:val="24"/>
          <w:szCs w:val="24"/>
        </w:rPr>
        <w:t xml:space="preserve">IECLB. Registro de Óbito de Lambert Ver Steeg de 01 de dezembro de 1887. Livro de Registros Eclesiásticos – Óbitos (1872-1999), IECLB São Vendelino, nº46, </w:t>
      </w:r>
      <w:r w:rsidRPr="00102124">
        <w:rPr>
          <w:rFonts w:ascii="Times New Roman" w:hAnsi="Times New Roman" w:cs="Times New Roman"/>
          <w:i/>
          <w:iCs/>
          <w:sz w:val="24"/>
          <w:szCs w:val="24"/>
        </w:rPr>
        <w:t>Acervo Genealogia RS.</w:t>
      </w:r>
    </w:p>
    <w:p w:rsidR="00C755CD" w:rsidRPr="00102124" w:rsidRDefault="00C755CD" w:rsidP="008973D0">
      <w:pPr>
        <w:pStyle w:val="Normal1"/>
        <w:spacing w:after="0" w:line="240" w:lineRule="auto"/>
        <w:jc w:val="both"/>
        <w:rPr>
          <w:rFonts w:ascii="Times New Roman" w:hAnsi="Times New Roman" w:cs="Times New Roman"/>
          <w:i/>
          <w:iCs/>
          <w:sz w:val="24"/>
          <w:szCs w:val="24"/>
        </w:rPr>
      </w:pPr>
    </w:p>
    <w:p w:rsidR="00C755CD" w:rsidRPr="00102124" w:rsidRDefault="00C755CD" w:rsidP="008973D0">
      <w:pPr>
        <w:keepNext w:val="0"/>
        <w:widowControl/>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LANGENDONCK, Madame van. </w:t>
      </w:r>
      <w:r w:rsidRPr="00102124">
        <w:rPr>
          <w:rFonts w:ascii="Times New Roman" w:hAnsi="Times New Roman" w:cs="Times New Roman"/>
          <w:i/>
          <w:iCs/>
          <w:sz w:val="24"/>
          <w:szCs w:val="24"/>
        </w:rPr>
        <w:t>Uma colônia no Brasil</w:t>
      </w:r>
      <w:r w:rsidRPr="00102124">
        <w:rPr>
          <w:rFonts w:ascii="Times New Roman" w:hAnsi="Times New Roman" w:cs="Times New Roman"/>
          <w:sz w:val="24"/>
          <w:szCs w:val="24"/>
        </w:rPr>
        <w:t>. Tradução de Paula Berinson e introdução de Augusto Meyer. Florianópolis: Editora Mulheres, [1862], 2002.</w:t>
      </w:r>
    </w:p>
    <w:p w:rsidR="00C755CD" w:rsidRPr="00102124" w:rsidRDefault="00C755CD" w:rsidP="008973D0">
      <w:pPr>
        <w:keepNext w:val="0"/>
        <w:widowControl/>
        <w:spacing w:after="0" w:line="240" w:lineRule="auto"/>
        <w:jc w:val="both"/>
        <w:rPr>
          <w:rFonts w:ascii="Times New Roman" w:hAnsi="Times New Roman" w:cs="Times New Roman"/>
          <w:sz w:val="24"/>
          <w:szCs w:val="24"/>
        </w:rPr>
      </w:pPr>
    </w:p>
    <w:p w:rsidR="00C755CD" w:rsidRDefault="00C755CD" w:rsidP="008973D0">
      <w:pPr>
        <w:keepNext w:val="0"/>
        <w:widowControl/>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LARAIA, Roque de Barros.  </w:t>
      </w:r>
      <w:r w:rsidRPr="00102124">
        <w:rPr>
          <w:rFonts w:ascii="Times New Roman" w:hAnsi="Times New Roman" w:cs="Times New Roman"/>
          <w:i/>
          <w:iCs/>
          <w:sz w:val="24"/>
          <w:szCs w:val="24"/>
        </w:rPr>
        <w:t>Cultura</w:t>
      </w:r>
      <w:r w:rsidRPr="00102124">
        <w:rPr>
          <w:rFonts w:ascii="Times New Roman" w:hAnsi="Times New Roman" w:cs="Times New Roman"/>
          <w:sz w:val="24"/>
          <w:szCs w:val="24"/>
        </w:rPr>
        <w:t>:</w:t>
      </w:r>
      <w:r w:rsidRPr="00102124">
        <w:rPr>
          <w:rFonts w:ascii="Times New Roman" w:hAnsi="Times New Roman" w:cs="Times New Roman"/>
          <w:i/>
          <w:iCs/>
          <w:sz w:val="24"/>
          <w:szCs w:val="24"/>
        </w:rPr>
        <w:t xml:space="preserve"> </w:t>
      </w:r>
      <w:r w:rsidRPr="00102124">
        <w:rPr>
          <w:rFonts w:ascii="Times New Roman" w:hAnsi="Times New Roman" w:cs="Times New Roman"/>
          <w:sz w:val="24"/>
          <w:szCs w:val="24"/>
        </w:rPr>
        <w:t>Um conceito Antropológico.  Rio de Janeiro: Jorge Zahar Editor, [1986] 2003.</w:t>
      </w:r>
    </w:p>
    <w:p w:rsidR="00C755CD" w:rsidRPr="00102124" w:rsidRDefault="00C755CD" w:rsidP="008973D0">
      <w:pPr>
        <w:keepNext w:val="0"/>
        <w:widowControl/>
        <w:spacing w:after="0" w:line="240" w:lineRule="auto"/>
        <w:jc w:val="both"/>
        <w:rPr>
          <w:rFonts w:ascii="Times New Roman" w:hAnsi="Times New Roman" w:cs="Times New Roman"/>
          <w:sz w:val="24"/>
          <w:szCs w:val="24"/>
        </w:rPr>
      </w:pPr>
    </w:p>
    <w:p w:rsidR="00C755CD" w:rsidRDefault="00C755CD" w:rsidP="008973D0">
      <w:pPr>
        <w:spacing w:after="0" w:line="24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LAROQUE, Luís Fernando da Silva. Lideranças Kaingang no Brasil Meridional (1808-1889). </w:t>
      </w:r>
      <w:r w:rsidRPr="00102124">
        <w:rPr>
          <w:rFonts w:ascii="Times New Roman" w:hAnsi="Times New Roman" w:cs="Times New Roman"/>
          <w:i/>
          <w:iCs/>
          <w:color w:val="auto"/>
          <w:sz w:val="24"/>
          <w:szCs w:val="24"/>
        </w:rPr>
        <w:t>Pesquisas. Antropologia nº 56</w:t>
      </w:r>
      <w:r w:rsidRPr="00102124">
        <w:rPr>
          <w:rFonts w:ascii="Times New Roman" w:hAnsi="Times New Roman" w:cs="Times New Roman"/>
          <w:color w:val="auto"/>
          <w:sz w:val="24"/>
          <w:szCs w:val="24"/>
        </w:rPr>
        <w:t>. São Leopoldo: Instituto Anchietano de Pesquisas/Unisinos,2000.</w:t>
      </w:r>
    </w:p>
    <w:p w:rsidR="00C755CD" w:rsidRPr="00102124" w:rsidRDefault="00C755CD" w:rsidP="008973D0">
      <w:pPr>
        <w:spacing w:after="0" w:line="240" w:lineRule="auto"/>
        <w:jc w:val="both"/>
        <w:rPr>
          <w:rFonts w:ascii="Times New Roman" w:hAnsi="Times New Roman" w:cs="Times New Roman"/>
          <w:color w:val="auto"/>
          <w:sz w:val="24"/>
          <w:szCs w:val="24"/>
        </w:rPr>
      </w:pPr>
    </w:p>
    <w:p w:rsidR="00C755CD" w:rsidRDefault="00C755CD" w:rsidP="008973D0">
      <w:pPr>
        <w:spacing w:after="0" w:line="240" w:lineRule="auto"/>
        <w:jc w:val="both"/>
        <w:rPr>
          <w:rFonts w:ascii="Times New Roman" w:hAnsi="Times New Roman" w:cs="Times New Roman"/>
          <w:sz w:val="24"/>
          <w:szCs w:val="24"/>
        </w:rPr>
      </w:pPr>
      <w:r w:rsidRPr="00102124">
        <w:rPr>
          <w:rFonts w:ascii="Times New Roman" w:hAnsi="Times New Roman" w:cs="Times New Roman"/>
          <w:color w:val="auto"/>
          <w:sz w:val="24"/>
          <w:szCs w:val="24"/>
        </w:rPr>
        <w:t xml:space="preserve">LAROQUE, Luís Fernando da Silva. Os Kaingangues; Momentos de historicidades indígenas. In: BOEIRA, Nelson; GOLIN, Tau (coord.). </w:t>
      </w:r>
      <w:r w:rsidRPr="00102124">
        <w:rPr>
          <w:rFonts w:ascii="Times New Roman" w:hAnsi="Times New Roman" w:cs="Times New Roman"/>
          <w:i/>
          <w:iCs/>
          <w:color w:val="auto"/>
          <w:sz w:val="24"/>
          <w:szCs w:val="24"/>
        </w:rPr>
        <w:t>História Geral do Rio Grande do Sul – Povos Indígenas</w:t>
      </w:r>
      <w:r w:rsidRPr="00102124">
        <w:rPr>
          <w:rFonts w:ascii="Times New Roman" w:hAnsi="Times New Roman" w:cs="Times New Roman"/>
          <w:color w:val="auto"/>
          <w:sz w:val="24"/>
          <w:szCs w:val="24"/>
        </w:rPr>
        <w:t>. Passo Fundo: Méritos, 2009. v. 5, p.81-108</w:t>
      </w:r>
      <w:r w:rsidRPr="00102124">
        <w:rPr>
          <w:rFonts w:ascii="Times New Roman" w:hAnsi="Times New Roman" w:cs="Times New Roman"/>
          <w:sz w:val="24"/>
          <w:szCs w:val="24"/>
        </w:rPr>
        <w:t>.</w:t>
      </w:r>
    </w:p>
    <w:p w:rsidR="00C755CD" w:rsidRPr="00102124" w:rsidRDefault="00C755CD" w:rsidP="008973D0">
      <w:pPr>
        <w:spacing w:after="0" w:line="240" w:lineRule="auto"/>
        <w:jc w:val="both"/>
        <w:rPr>
          <w:rFonts w:ascii="Times New Roman" w:hAnsi="Times New Roman" w:cs="Times New Roman"/>
          <w:sz w:val="24"/>
          <w:szCs w:val="24"/>
        </w:rPr>
      </w:pPr>
    </w:p>
    <w:p w:rsidR="00C755CD" w:rsidRDefault="00C755CD" w:rsidP="008973D0">
      <w:pPr>
        <w:spacing w:after="0" w:line="240" w:lineRule="auto"/>
        <w:rPr>
          <w:rFonts w:ascii="Times New Roman" w:hAnsi="Times New Roman" w:cs="Times New Roman"/>
          <w:sz w:val="24"/>
          <w:szCs w:val="24"/>
        </w:rPr>
      </w:pPr>
      <w:r w:rsidRPr="00102124">
        <w:rPr>
          <w:rFonts w:ascii="Times New Roman" w:hAnsi="Times New Roman" w:cs="Times New Roman"/>
          <w:sz w:val="24"/>
          <w:szCs w:val="24"/>
        </w:rPr>
        <w:t xml:space="preserve">MABILDE, Pierre. F. A. Booth. </w:t>
      </w:r>
      <w:r w:rsidRPr="00102124">
        <w:rPr>
          <w:rFonts w:ascii="Times New Roman" w:hAnsi="Times New Roman" w:cs="Times New Roman"/>
          <w:b/>
          <w:bCs/>
          <w:sz w:val="24"/>
          <w:szCs w:val="24"/>
        </w:rPr>
        <w:t>A</w:t>
      </w:r>
      <w:r w:rsidRPr="00102124">
        <w:rPr>
          <w:rFonts w:ascii="Times New Roman" w:hAnsi="Times New Roman" w:cs="Times New Roman"/>
          <w:i/>
          <w:iCs/>
          <w:sz w:val="24"/>
          <w:szCs w:val="24"/>
        </w:rPr>
        <w:t>pontamentos sobre os indígenas selvagens da Nação dos Coroados dos matos da Província do Rio Grande do Sul – 1836-1866</w:t>
      </w:r>
      <w:r w:rsidRPr="00102124">
        <w:rPr>
          <w:rFonts w:ascii="Times New Roman" w:hAnsi="Times New Roman" w:cs="Times New Roman"/>
          <w:sz w:val="24"/>
          <w:szCs w:val="24"/>
        </w:rPr>
        <w:t>. São Paulo, IBRASA, 1983.</w:t>
      </w:r>
    </w:p>
    <w:p w:rsidR="00C755CD" w:rsidRPr="00102124" w:rsidRDefault="00C755CD" w:rsidP="008973D0">
      <w:pPr>
        <w:spacing w:after="0" w:line="240" w:lineRule="auto"/>
        <w:rPr>
          <w:rFonts w:ascii="Times New Roman" w:hAnsi="Times New Roman" w:cs="Times New Roman"/>
          <w:sz w:val="24"/>
          <w:szCs w:val="24"/>
        </w:rPr>
      </w:pPr>
    </w:p>
    <w:p w:rsidR="00C755CD" w:rsidRDefault="00C755CD" w:rsidP="008973D0">
      <w:pPr>
        <w:spacing w:after="0"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MARTINS, José de Souza. </w:t>
      </w:r>
      <w:r w:rsidRPr="00102124">
        <w:rPr>
          <w:rFonts w:ascii="Times New Roman" w:hAnsi="Times New Roman" w:cs="Times New Roman"/>
          <w:i/>
          <w:iCs/>
          <w:sz w:val="24"/>
          <w:szCs w:val="24"/>
        </w:rPr>
        <w:t>Fronteira</w:t>
      </w:r>
      <w:r w:rsidRPr="00102124">
        <w:rPr>
          <w:rFonts w:ascii="Times New Roman" w:hAnsi="Times New Roman" w:cs="Times New Roman"/>
          <w:sz w:val="24"/>
          <w:szCs w:val="24"/>
        </w:rPr>
        <w:t>:</w:t>
      </w:r>
      <w:r w:rsidRPr="00102124">
        <w:rPr>
          <w:rFonts w:ascii="Times New Roman" w:hAnsi="Times New Roman" w:cs="Times New Roman"/>
          <w:b/>
          <w:bCs/>
          <w:sz w:val="24"/>
          <w:szCs w:val="24"/>
        </w:rPr>
        <w:t xml:space="preserve"> </w:t>
      </w:r>
      <w:r w:rsidRPr="00102124">
        <w:rPr>
          <w:rFonts w:ascii="Times New Roman" w:hAnsi="Times New Roman" w:cs="Times New Roman"/>
          <w:sz w:val="24"/>
          <w:szCs w:val="24"/>
        </w:rPr>
        <w:t>a degradação do outro nos confins do humano. São Paulo-SP: HUCITEC, 1997.</w:t>
      </w:r>
    </w:p>
    <w:p w:rsidR="00C755CD" w:rsidRPr="008973D0" w:rsidRDefault="00C755CD" w:rsidP="008973D0">
      <w:pPr>
        <w:spacing w:after="0" w:line="240" w:lineRule="auto"/>
        <w:rPr>
          <w:rFonts w:ascii="Times New Roman" w:hAnsi="Times New Roman" w:cs="Times New Roman"/>
          <w:sz w:val="24"/>
          <w:szCs w:val="24"/>
        </w:rPr>
      </w:pPr>
      <w:r w:rsidRPr="008973D0">
        <w:rPr>
          <w:rFonts w:ascii="Times New Roman" w:hAnsi="Times New Roman" w:cs="Times New Roman"/>
          <w:color w:val="auto"/>
          <w:sz w:val="24"/>
          <w:szCs w:val="24"/>
        </w:rPr>
        <w:t xml:space="preserve">MAPA da Fundação Estatística e Econômica, do Cored do Vale do Caí. Disponível em:  </w:t>
      </w:r>
      <w:r w:rsidRPr="008973D0">
        <w:rPr>
          <w:rFonts w:ascii="Times New Roman" w:hAnsi="Times New Roman" w:cs="Times New Roman"/>
          <w:color w:val="auto"/>
          <w:sz w:val="24"/>
          <w:szCs w:val="24"/>
          <w:shd w:val="clear" w:color="auto" w:fill="FFFFFF"/>
        </w:rPr>
        <w:t>&lt;</w:t>
      </w:r>
    </w:p>
    <w:p w:rsidR="00C755CD" w:rsidRDefault="00C755CD" w:rsidP="008973D0">
      <w:pPr>
        <w:pStyle w:val="Normal1"/>
        <w:spacing w:after="0" w:line="240" w:lineRule="auto"/>
        <w:jc w:val="both"/>
        <w:rPr>
          <w:rFonts w:ascii="Times New Roman" w:hAnsi="Times New Roman" w:cs="Times New Roman"/>
          <w:color w:val="auto"/>
          <w:sz w:val="24"/>
          <w:szCs w:val="24"/>
          <w:shd w:val="clear" w:color="auto" w:fill="FFFFFF"/>
        </w:rPr>
      </w:pPr>
      <w:hyperlink r:id="rId9" w:tgtFrame="_blank" w:history="1">
        <w:r w:rsidRPr="008973D0">
          <w:rPr>
            <w:rStyle w:val="Hyperlink"/>
            <w:rFonts w:ascii="Times New Roman" w:hAnsi="Times New Roman" w:cs="Times New Roman"/>
            <w:color w:val="1155CC"/>
            <w:sz w:val="24"/>
            <w:szCs w:val="24"/>
          </w:rPr>
          <w:t>http://mapas.fee.tche.br/wp-content/uploads/2009/08/corede_vale_do_cai_2008_municipios.png</w:t>
        </w:r>
      </w:hyperlink>
      <w:r w:rsidRPr="008973D0">
        <w:rPr>
          <w:rFonts w:ascii="Times New Roman" w:hAnsi="Times New Roman" w:cs="Times New Roman"/>
          <w:color w:val="auto"/>
          <w:sz w:val="24"/>
          <w:szCs w:val="24"/>
          <w:shd w:val="clear" w:color="auto" w:fill="FFFFFF"/>
        </w:rPr>
        <w:t>&gt;. Acesso em 22 de agosto de 2017.</w:t>
      </w:r>
    </w:p>
    <w:p w:rsidR="00C755CD" w:rsidRPr="008973D0" w:rsidRDefault="00C755CD" w:rsidP="008973D0">
      <w:pPr>
        <w:pStyle w:val="Normal1"/>
        <w:spacing w:after="0" w:line="240" w:lineRule="auto"/>
        <w:jc w:val="both"/>
        <w:rPr>
          <w:rFonts w:ascii="Times New Roman" w:hAnsi="Times New Roman" w:cs="Times New Roman"/>
          <w:color w:val="auto"/>
          <w:sz w:val="24"/>
          <w:szCs w:val="24"/>
        </w:rPr>
      </w:pPr>
    </w:p>
    <w:p w:rsidR="00C755CD" w:rsidRDefault="00C755CD" w:rsidP="008973D0">
      <w:pPr>
        <w:pStyle w:val="Default"/>
        <w:jc w:val="both"/>
        <w:rPr>
          <w:rFonts w:ascii="Times New Roman" w:hAnsi="Times New Roman" w:cs="Times New Roman"/>
          <w:color w:val="auto"/>
        </w:rPr>
      </w:pPr>
      <w:r w:rsidRPr="00102124">
        <w:rPr>
          <w:rFonts w:ascii="Times New Roman" w:hAnsi="Times New Roman" w:cs="Times New Roman"/>
          <w:color w:val="auto"/>
        </w:rPr>
        <w:t xml:space="preserve">PIRES, Karen. </w:t>
      </w:r>
      <w:r w:rsidRPr="00102124">
        <w:rPr>
          <w:rFonts w:ascii="Times New Roman" w:hAnsi="Times New Roman" w:cs="Times New Roman"/>
          <w:i/>
          <w:iCs/>
          <w:color w:val="auto"/>
        </w:rPr>
        <w:t xml:space="preserve">O trabalho escravo e suas implicações na paisagem urbana e rural de Taquari, Estrela e Santo Amaro/ RS – final do século </w:t>
      </w:r>
      <w:r w:rsidRPr="00102124">
        <w:rPr>
          <w:rFonts w:ascii="Times New Roman" w:hAnsi="Times New Roman" w:cs="Times New Roman"/>
          <w:color w:val="auto"/>
        </w:rPr>
        <w:t>XIX</w:t>
      </w:r>
      <w:r w:rsidRPr="00102124">
        <w:rPr>
          <w:rFonts w:ascii="Times New Roman" w:hAnsi="Times New Roman" w:cs="Times New Roman"/>
          <w:b/>
          <w:bCs/>
          <w:color w:val="auto"/>
        </w:rPr>
        <w:t xml:space="preserve">. </w:t>
      </w:r>
      <w:r w:rsidRPr="00102124">
        <w:rPr>
          <w:rFonts w:ascii="Times New Roman" w:hAnsi="Times New Roman" w:cs="Times New Roman"/>
          <w:color w:val="auto"/>
        </w:rPr>
        <w:t xml:space="preserve">2016. 182 f. Dissertação (Mestrado em Ambiente e Desenvolvimento) – Centro Universitário Univates, Lajeado, dez. 2016. </w:t>
      </w:r>
    </w:p>
    <w:p w:rsidR="00C755CD" w:rsidRPr="00102124" w:rsidRDefault="00C755CD" w:rsidP="008973D0">
      <w:pPr>
        <w:pStyle w:val="Default"/>
        <w:jc w:val="both"/>
        <w:rPr>
          <w:rFonts w:ascii="Times New Roman" w:hAnsi="Times New Roman" w:cs="Times New Roman"/>
          <w:color w:val="auto"/>
        </w:rPr>
      </w:pPr>
    </w:p>
    <w:p w:rsidR="00C755CD" w:rsidRPr="00102124" w:rsidRDefault="00C755CD" w:rsidP="008973D0">
      <w:pPr>
        <w:pStyle w:val="Normal1"/>
        <w:spacing w:line="240" w:lineRule="auto"/>
        <w:jc w:val="both"/>
        <w:rPr>
          <w:rFonts w:ascii="Times New Roman" w:hAnsi="Times New Roman" w:cs="Times New Roman"/>
          <w:color w:val="auto"/>
          <w:sz w:val="24"/>
          <w:szCs w:val="24"/>
        </w:rPr>
      </w:pPr>
      <w:r w:rsidRPr="00102124">
        <w:rPr>
          <w:rFonts w:ascii="Times New Roman" w:hAnsi="Times New Roman" w:cs="Times New Roman"/>
          <w:sz w:val="24"/>
          <w:szCs w:val="24"/>
        </w:rPr>
        <w:t xml:space="preserve">REGISTRO DE NASCIMENTO de 11 de novembro de 1822. </w:t>
      </w:r>
      <w:r w:rsidRPr="00102124">
        <w:rPr>
          <w:rFonts w:ascii="Times New Roman" w:hAnsi="Times New Roman" w:cs="Times New Roman"/>
          <w:sz w:val="24"/>
          <w:szCs w:val="24"/>
          <w:lang w:val="de-DE"/>
        </w:rPr>
        <w:t>Livro de Registro Civil – Nascimentos (1821-1822) Haarlem, Noord Holland, Netherland</w:t>
      </w:r>
      <w:r w:rsidRPr="00102124">
        <w:rPr>
          <w:rFonts w:ascii="Times New Roman" w:hAnsi="Times New Roman" w:cs="Times New Roman"/>
          <w:sz w:val="24"/>
          <w:szCs w:val="24"/>
        </w:rPr>
        <w:t>, p. 151, acervo</w:t>
      </w:r>
      <w:r>
        <w:rPr>
          <w:rFonts w:ascii="Times New Roman" w:hAnsi="Times New Roman" w:cs="Times New Roman"/>
          <w:sz w:val="24"/>
          <w:szCs w:val="24"/>
        </w:rPr>
        <w:t xml:space="preserve"> Family Search. Disponível em:</w:t>
      </w:r>
      <w:r w:rsidRPr="008973D0">
        <w:rPr>
          <w:rFonts w:ascii="Times New Roman" w:hAnsi="Times New Roman" w:cs="Times New Roman"/>
          <w:color w:val="auto"/>
          <w:sz w:val="24"/>
          <w:szCs w:val="24"/>
          <w:shd w:val="clear" w:color="auto" w:fill="FFFFFF"/>
        </w:rPr>
        <w:t xml:space="preserve"> </w:t>
      </w:r>
      <w:r w:rsidRPr="00102124">
        <w:rPr>
          <w:rFonts w:ascii="Times New Roman" w:hAnsi="Times New Roman" w:cs="Times New Roman"/>
          <w:color w:val="auto"/>
          <w:sz w:val="24"/>
          <w:szCs w:val="24"/>
          <w:shd w:val="clear" w:color="auto" w:fill="FFFFFF"/>
        </w:rPr>
        <w:t>&lt;</w:t>
      </w:r>
      <w:r w:rsidRPr="00102124">
        <w:rPr>
          <w:rFonts w:ascii="Times New Roman" w:hAnsi="Times New Roman" w:cs="Times New Roman"/>
          <w:sz w:val="24"/>
          <w:szCs w:val="24"/>
        </w:rPr>
        <w:t>https://www.familysearch.org/ark:/61903/3:1:939Z-RTJH-2?i=341&amp;wc=MCLW-HMH%3A3</w:t>
      </w:r>
      <w:r>
        <w:rPr>
          <w:rFonts w:ascii="Times New Roman" w:hAnsi="Times New Roman" w:cs="Times New Roman"/>
          <w:sz w:val="24"/>
          <w:szCs w:val="24"/>
        </w:rPr>
        <w:t>41396101%2C341773201&amp;cc=2020117</w:t>
      </w:r>
      <w:r w:rsidRPr="00102124">
        <w:rPr>
          <w:rFonts w:ascii="Times New Roman" w:hAnsi="Times New Roman" w:cs="Times New Roman"/>
          <w:color w:val="auto"/>
          <w:sz w:val="24"/>
          <w:szCs w:val="24"/>
          <w:shd w:val="clear" w:color="auto" w:fill="FFFFFF"/>
        </w:rPr>
        <w:t>&gt;. Acesso em 22 de agosto de 2017.</w:t>
      </w:r>
    </w:p>
    <w:p w:rsidR="00C755CD" w:rsidRPr="00102124" w:rsidRDefault="00C755CD" w:rsidP="00267725">
      <w:pPr>
        <w:pStyle w:val="Normal1"/>
        <w:spacing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RELATÓRIO de 24 de fevereiro de 1868. Relatório da Diretoria Geral dos Índios. </w:t>
      </w:r>
      <w:r w:rsidRPr="00102124">
        <w:rPr>
          <w:rFonts w:ascii="Times New Roman" w:hAnsi="Times New Roman" w:cs="Times New Roman"/>
          <w:i/>
          <w:iCs/>
          <w:sz w:val="24"/>
          <w:szCs w:val="24"/>
        </w:rPr>
        <w:t>AHRS</w:t>
      </w:r>
      <w:r w:rsidRPr="00102124">
        <w:rPr>
          <w:rFonts w:ascii="Times New Roman" w:hAnsi="Times New Roman" w:cs="Times New Roman"/>
          <w:sz w:val="24"/>
          <w:szCs w:val="24"/>
        </w:rPr>
        <w:t>. Porto Alegre.</w:t>
      </w:r>
    </w:p>
    <w:p w:rsidR="00C755CD" w:rsidRPr="00102124" w:rsidRDefault="00C755CD" w:rsidP="00096122">
      <w:pPr>
        <w:jc w:val="both"/>
        <w:rPr>
          <w:rFonts w:ascii="Times New Roman" w:hAnsi="Times New Roman" w:cs="Times New Roman"/>
          <w:sz w:val="24"/>
          <w:szCs w:val="24"/>
        </w:rPr>
      </w:pPr>
      <w:r w:rsidRPr="00102124">
        <w:rPr>
          <w:rFonts w:ascii="Times New Roman" w:hAnsi="Times New Roman" w:cs="Times New Roman"/>
          <w:sz w:val="24"/>
          <w:szCs w:val="24"/>
        </w:rPr>
        <w:t xml:space="preserve">RIEL, Cornelia Van; ZART, Helaine Gnoatto. </w:t>
      </w:r>
      <w:r w:rsidRPr="00102124">
        <w:rPr>
          <w:rFonts w:ascii="Times New Roman" w:hAnsi="Times New Roman" w:cs="Times New Roman"/>
          <w:i/>
          <w:iCs/>
          <w:sz w:val="24"/>
          <w:szCs w:val="24"/>
        </w:rPr>
        <w:t>A caminho da esperança</w:t>
      </w:r>
      <w:r w:rsidRPr="00102124">
        <w:rPr>
          <w:rFonts w:ascii="Times New Roman" w:hAnsi="Times New Roman" w:cs="Times New Roman"/>
          <w:sz w:val="24"/>
          <w:szCs w:val="24"/>
        </w:rPr>
        <w:t>: Imigração holandesa de Não-Me-Toque. Não-Me-Toque/RS: RH Publicidades Ltda., 2011.</w:t>
      </w:r>
    </w:p>
    <w:p w:rsidR="00C755CD" w:rsidRPr="00102124" w:rsidRDefault="00C755CD" w:rsidP="00267725">
      <w:pPr>
        <w:pStyle w:val="Normal1"/>
        <w:spacing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ROCHE, Jean. </w:t>
      </w:r>
      <w:r w:rsidRPr="00102124">
        <w:rPr>
          <w:rFonts w:ascii="Times New Roman" w:hAnsi="Times New Roman" w:cs="Times New Roman"/>
          <w:i/>
          <w:iCs/>
          <w:sz w:val="24"/>
          <w:szCs w:val="24"/>
        </w:rPr>
        <w:t>A Colonização Alemã e o Rio Grande do Sul</w:t>
      </w:r>
      <w:r w:rsidRPr="00102124">
        <w:rPr>
          <w:rFonts w:ascii="Times New Roman" w:hAnsi="Times New Roman" w:cs="Times New Roman"/>
          <w:sz w:val="24"/>
          <w:szCs w:val="24"/>
        </w:rPr>
        <w:t>. v. I. Ed. Porto Alegre: Globo S.A., 1969.</w:t>
      </w:r>
    </w:p>
    <w:p w:rsidR="00C755CD" w:rsidRPr="00102124" w:rsidRDefault="00C755CD" w:rsidP="00267725">
      <w:pPr>
        <w:pStyle w:val="Normal1"/>
        <w:spacing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ROOS, Ton; ESHUIS, Margje. </w:t>
      </w:r>
      <w:r w:rsidRPr="00102124">
        <w:rPr>
          <w:rFonts w:ascii="Times New Roman" w:hAnsi="Times New Roman" w:cs="Times New Roman"/>
          <w:i/>
          <w:iCs/>
          <w:sz w:val="24"/>
          <w:szCs w:val="24"/>
        </w:rPr>
        <w:t>Os Capixabas Holandeses – Uma História Holandesa no Brasil</w:t>
      </w:r>
      <w:r w:rsidRPr="00102124">
        <w:rPr>
          <w:rFonts w:ascii="Times New Roman" w:hAnsi="Times New Roman" w:cs="Times New Roman"/>
          <w:sz w:val="24"/>
          <w:szCs w:val="24"/>
        </w:rPr>
        <w:t>. Barneveld, Países Baixos, Editora Koninklijke BDU Uitgevers, 2008.</w:t>
      </w:r>
    </w:p>
    <w:p w:rsidR="00C755CD" w:rsidRPr="00102124" w:rsidRDefault="00C755CD" w:rsidP="00267725">
      <w:pPr>
        <w:pStyle w:val="Normal1"/>
        <w:spacing w:line="240" w:lineRule="auto"/>
        <w:jc w:val="both"/>
        <w:rPr>
          <w:rFonts w:ascii="Times New Roman" w:hAnsi="Times New Roman" w:cs="Times New Roman"/>
          <w:color w:val="auto"/>
          <w:sz w:val="24"/>
          <w:szCs w:val="24"/>
        </w:rPr>
      </w:pPr>
      <w:r w:rsidRPr="00102124">
        <w:rPr>
          <w:rFonts w:ascii="Times New Roman" w:hAnsi="Times New Roman" w:cs="Times New Roman"/>
          <w:color w:val="auto"/>
          <w:sz w:val="24"/>
          <w:szCs w:val="24"/>
          <w:shd w:val="clear" w:color="auto" w:fill="FFFFFF"/>
        </w:rPr>
        <w:t>SEMA - Secretaria do Ambiente e Desenvolvimento Sustentável – Bacias Hidrográficas do RS. Disponível em: &lt;</w:t>
      </w:r>
      <w:r w:rsidRPr="00102124">
        <w:rPr>
          <w:rFonts w:ascii="Times New Roman" w:hAnsi="Times New Roman" w:cs="Times New Roman"/>
          <w:sz w:val="24"/>
          <w:szCs w:val="24"/>
        </w:rPr>
        <w:t xml:space="preserve"> </w:t>
      </w:r>
      <w:r w:rsidRPr="00102124">
        <w:rPr>
          <w:rFonts w:ascii="Times New Roman" w:hAnsi="Times New Roman" w:cs="Times New Roman"/>
          <w:color w:val="auto"/>
          <w:sz w:val="24"/>
          <w:szCs w:val="24"/>
          <w:shd w:val="clear" w:color="auto" w:fill="FFFFFF"/>
        </w:rPr>
        <w:t>http://www.sema.rs.gov.br/bacias-hidrograficas&gt;. Acesso em 22 de agosto de 2017.</w:t>
      </w:r>
    </w:p>
    <w:p w:rsidR="00C755CD" w:rsidRPr="00102124" w:rsidRDefault="00C755CD" w:rsidP="00267725">
      <w:pPr>
        <w:jc w:val="both"/>
        <w:rPr>
          <w:rFonts w:ascii="Times New Roman" w:hAnsi="Times New Roman" w:cs="Times New Roman"/>
          <w:sz w:val="24"/>
          <w:szCs w:val="24"/>
        </w:rPr>
      </w:pPr>
      <w:r w:rsidRPr="00102124">
        <w:rPr>
          <w:rFonts w:ascii="Times New Roman" w:hAnsi="Times New Roman" w:cs="Times New Roman"/>
          <w:sz w:val="24"/>
          <w:szCs w:val="24"/>
        </w:rPr>
        <w:t xml:space="preserve">OLIVEIRA, Roberto Cardoso de. </w:t>
      </w:r>
      <w:r w:rsidRPr="00102124">
        <w:rPr>
          <w:rFonts w:ascii="Times New Roman" w:hAnsi="Times New Roman" w:cs="Times New Roman"/>
          <w:i/>
          <w:iCs/>
          <w:sz w:val="24"/>
          <w:szCs w:val="24"/>
        </w:rPr>
        <w:t>Identidade, etnia e estrutura social</w:t>
      </w:r>
      <w:r w:rsidRPr="00102124">
        <w:rPr>
          <w:rFonts w:ascii="Times New Roman" w:hAnsi="Times New Roman" w:cs="Times New Roman"/>
          <w:sz w:val="24"/>
          <w:szCs w:val="24"/>
        </w:rPr>
        <w:t>. São Paulo: Editora Livraria Pioneira Editora, São Paulo, 1976.</w:t>
      </w:r>
    </w:p>
    <w:p w:rsidR="00C755CD" w:rsidRPr="00102124" w:rsidRDefault="00C755CD" w:rsidP="00881BE4">
      <w:pPr>
        <w:jc w:val="both"/>
        <w:rPr>
          <w:rFonts w:ascii="Times New Roman" w:hAnsi="Times New Roman" w:cs="Times New Roman"/>
          <w:color w:val="auto"/>
          <w:sz w:val="24"/>
          <w:szCs w:val="24"/>
        </w:rPr>
      </w:pPr>
      <w:r w:rsidRPr="00102124">
        <w:rPr>
          <w:rFonts w:ascii="Times New Roman" w:hAnsi="Times New Roman" w:cs="Times New Roman"/>
          <w:color w:val="auto"/>
          <w:sz w:val="24"/>
          <w:szCs w:val="24"/>
        </w:rPr>
        <w:t xml:space="preserve">VEDOY, Moisés Ilair Blum. </w:t>
      </w:r>
      <w:r w:rsidRPr="00102124">
        <w:rPr>
          <w:rFonts w:ascii="Times New Roman" w:hAnsi="Times New Roman" w:cs="Times New Roman"/>
          <w:i/>
          <w:iCs/>
          <w:color w:val="auto"/>
          <w:sz w:val="24"/>
          <w:szCs w:val="24"/>
        </w:rPr>
        <w:t>Contatos interétnicos</w:t>
      </w:r>
      <w:r w:rsidRPr="00102124">
        <w:rPr>
          <w:rFonts w:ascii="Times New Roman" w:hAnsi="Times New Roman" w:cs="Times New Roman"/>
          <w:color w:val="auto"/>
          <w:sz w:val="24"/>
          <w:szCs w:val="24"/>
        </w:rPr>
        <w:t>:</w:t>
      </w:r>
      <w:r w:rsidRPr="00102124">
        <w:rPr>
          <w:rFonts w:ascii="Times New Roman" w:hAnsi="Times New Roman" w:cs="Times New Roman"/>
          <w:b/>
          <w:bCs/>
          <w:color w:val="auto"/>
          <w:sz w:val="24"/>
          <w:szCs w:val="24"/>
        </w:rPr>
        <w:t xml:space="preserve"> </w:t>
      </w:r>
      <w:r w:rsidRPr="00102124">
        <w:rPr>
          <w:rFonts w:ascii="Times New Roman" w:hAnsi="Times New Roman" w:cs="Times New Roman"/>
          <w:color w:val="auto"/>
          <w:sz w:val="24"/>
          <w:szCs w:val="24"/>
        </w:rPr>
        <w:t>sesmeiros, fazendeiros, imigrantes alemães e indígenas Kaingang em territórios das bacias hidrográficas do Taquari-Antas e Caí. 2015. 100f. Monografia (Graduação) - Curso de História, Centro Universitário UNIVATES, Lajeado, 2015.</w:t>
      </w:r>
    </w:p>
    <w:p w:rsidR="00C755CD" w:rsidRPr="00102124" w:rsidRDefault="00C755CD" w:rsidP="00267725">
      <w:pPr>
        <w:pStyle w:val="Normal1"/>
        <w:spacing w:line="240" w:lineRule="auto"/>
        <w:jc w:val="both"/>
        <w:rPr>
          <w:rFonts w:ascii="Times New Roman" w:hAnsi="Times New Roman" w:cs="Times New Roman"/>
          <w:sz w:val="24"/>
          <w:szCs w:val="24"/>
        </w:rPr>
      </w:pPr>
      <w:r w:rsidRPr="00102124">
        <w:rPr>
          <w:rFonts w:ascii="Times New Roman" w:hAnsi="Times New Roman" w:cs="Times New Roman"/>
          <w:sz w:val="24"/>
          <w:szCs w:val="24"/>
        </w:rPr>
        <w:t xml:space="preserve">WOODWARD, Kathryn. Identidade e diferença: uma introdução teórica e conceitual. IN: SILVA, TomazTadeu da (Org); HALL, Stuart; WOODWARD, Kathryn. </w:t>
      </w:r>
      <w:r w:rsidRPr="00102124">
        <w:rPr>
          <w:rFonts w:ascii="Times New Roman" w:hAnsi="Times New Roman" w:cs="Times New Roman"/>
          <w:i/>
          <w:iCs/>
          <w:sz w:val="24"/>
          <w:szCs w:val="24"/>
        </w:rPr>
        <w:t>Identidade e diferença</w:t>
      </w:r>
      <w:r w:rsidRPr="00102124">
        <w:rPr>
          <w:rFonts w:ascii="Times New Roman" w:hAnsi="Times New Roman" w:cs="Times New Roman"/>
          <w:sz w:val="24"/>
          <w:szCs w:val="24"/>
        </w:rPr>
        <w:t>: A perspectiva do Estudos Culturais. Tradução de Thomaz Tadeu da Silva. Petrópolis: Editora Vozes, 2004, p.  7 – 72.</w:t>
      </w:r>
    </w:p>
    <w:p w:rsidR="00C755CD" w:rsidRPr="002416A1" w:rsidRDefault="00C755CD" w:rsidP="002416A1">
      <w:pPr>
        <w:pStyle w:val="Default"/>
        <w:spacing w:after="200"/>
        <w:jc w:val="both"/>
        <w:rPr>
          <w:rFonts w:ascii="Times New Roman" w:hAnsi="Times New Roman" w:cs="Times New Roman"/>
          <w:color w:val="auto"/>
        </w:rPr>
      </w:pPr>
      <w:r w:rsidRPr="00102124">
        <w:rPr>
          <w:rFonts w:ascii="Times New Roman" w:hAnsi="Times New Roman" w:cs="Times New Roman"/>
          <w:color w:val="auto"/>
        </w:rPr>
        <w:t xml:space="preserve">WOLF, Sidnei. </w:t>
      </w:r>
      <w:r w:rsidRPr="00102124">
        <w:rPr>
          <w:rFonts w:ascii="Times New Roman" w:hAnsi="Times New Roman" w:cs="Times New Roman"/>
          <w:i/>
          <w:iCs/>
          <w:color w:val="auto"/>
        </w:rPr>
        <w:t>Arqueologia Jê no alto Forqueta/RS e Guaporé/RS</w:t>
      </w:r>
      <w:r w:rsidRPr="00102124">
        <w:rPr>
          <w:rFonts w:ascii="Times New Roman" w:hAnsi="Times New Roman" w:cs="Times New Roman"/>
          <w:color w:val="auto"/>
        </w:rPr>
        <w:t>: um novo cenário para uma antigo contexto.  2016.  341 f. Tese. (Doutorado em Ciência: Ambiente e Desenvolvimento) – Centro Universitário Univates, Lajeado, nov. 2016.</w:t>
      </w:r>
      <w:r w:rsidRPr="002416A1">
        <w:rPr>
          <w:rFonts w:ascii="Times New Roman" w:hAnsi="Times New Roman" w:cs="Times New Roman"/>
          <w:color w:val="auto"/>
        </w:rPr>
        <w:t xml:space="preserve"> </w:t>
      </w:r>
    </w:p>
    <w:p w:rsidR="00C755CD" w:rsidRPr="00C92E5B" w:rsidRDefault="00C755CD">
      <w:pPr>
        <w:rPr>
          <w:rFonts w:ascii="Times New Roman" w:hAnsi="Times New Roman" w:cs="Times New Roman"/>
          <w:sz w:val="24"/>
          <w:szCs w:val="24"/>
        </w:rPr>
      </w:pPr>
    </w:p>
    <w:sectPr w:rsidR="00C755CD" w:rsidRPr="00C92E5B" w:rsidSect="008973D0">
      <w:pgSz w:w="11906" w:h="16838"/>
      <w:pgMar w:top="1701" w:right="1134" w:bottom="1134" w:left="1701" w:header="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5CD" w:rsidRDefault="00C755CD" w:rsidP="00267725">
      <w:pPr>
        <w:spacing w:after="0" w:line="240" w:lineRule="auto"/>
      </w:pPr>
      <w:r>
        <w:separator/>
      </w:r>
    </w:p>
  </w:endnote>
  <w:endnote w:type="continuationSeparator" w:id="0">
    <w:p w:rsidR="00C755CD" w:rsidRDefault="00C755CD" w:rsidP="00267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5CD" w:rsidRDefault="00C755CD" w:rsidP="00267725">
      <w:pPr>
        <w:spacing w:after="0" w:line="240" w:lineRule="auto"/>
      </w:pPr>
      <w:r>
        <w:separator/>
      </w:r>
    </w:p>
  </w:footnote>
  <w:footnote w:type="continuationSeparator" w:id="0">
    <w:p w:rsidR="00C755CD" w:rsidRDefault="00C755CD" w:rsidP="00267725">
      <w:pPr>
        <w:spacing w:after="0" w:line="240" w:lineRule="auto"/>
      </w:pPr>
      <w:r>
        <w:continuationSeparator/>
      </w:r>
    </w:p>
  </w:footnote>
  <w:footnote w:id="1">
    <w:p w:rsidR="00C755CD" w:rsidRDefault="00C755CD" w:rsidP="000838CF">
      <w:pPr>
        <w:pStyle w:val="FootnoteText"/>
        <w:jc w:val="both"/>
      </w:pPr>
      <w:r w:rsidRPr="00EC37FA">
        <w:rPr>
          <w:rStyle w:val="FootnoteReference"/>
          <w:rFonts w:ascii="Times New Roman" w:hAnsi="Times New Roman" w:cs="Times New Roman"/>
        </w:rPr>
        <w:footnoteRef/>
      </w:r>
      <w:r w:rsidRPr="00EC37FA">
        <w:rPr>
          <w:rFonts w:ascii="Times New Roman" w:hAnsi="Times New Roman" w:cs="Times New Roman"/>
        </w:rPr>
        <w:t xml:space="preserve"> O estudo insere-se no Projeto de Pesquisa “Identidades étnicas em espaços territoriais da Bacia Hidrográfica do Taquari-Antas/RS: história, movimentações e desdobramentos socioambientais”, vinculado ao PPG em Ambiente e Desenvolvimento e conta com auxílios financeiro da Universidade do Vale do Taquari – Univates e da Fapergs.</w:t>
      </w:r>
    </w:p>
  </w:footnote>
  <w:footnote w:id="2">
    <w:p w:rsidR="00C755CD" w:rsidRDefault="00C755CD" w:rsidP="00D708D6">
      <w:pPr>
        <w:pStyle w:val="FootnoteText"/>
        <w:jc w:val="both"/>
      </w:pPr>
      <w:r w:rsidRPr="00D708D6">
        <w:rPr>
          <w:rStyle w:val="FootnoteReference"/>
          <w:rFonts w:ascii="Times New Roman" w:hAnsi="Times New Roman" w:cs="Times New Roman"/>
        </w:rPr>
        <w:footnoteRef/>
      </w:r>
      <w:r w:rsidRPr="00D708D6">
        <w:rPr>
          <w:rFonts w:ascii="Times New Roman" w:hAnsi="Times New Roman" w:cs="Times New Roman"/>
        </w:rPr>
        <w:t xml:space="preserve"> Doutor em História. Professor e pesquisador do Programa de Pós-Graduação em Ambiente e Desenvolvimento e do Curso de História da Univates. E-mail: </w:t>
      </w:r>
      <w:hyperlink r:id="rId1" w:history="1">
        <w:r w:rsidRPr="00D708D6">
          <w:rPr>
            <w:rStyle w:val="Hyperlink"/>
            <w:rFonts w:ascii="Times New Roman" w:hAnsi="Times New Roman" w:cs="Times New Roman"/>
            <w:color w:val="auto"/>
          </w:rPr>
          <w:t>lflaroque@univates.br</w:t>
        </w:r>
      </w:hyperlink>
    </w:p>
  </w:footnote>
  <w:footnote w:id="3">
    <w:p w:rsidR="00C755CD" w:rsidRDefault="00C755CD" w:rsidP="00D708D6">
      <w:pPr>
        <w:pStyle w:val="FootnoteText"/>
        <w:jc w:val="both"/>
      </w:pPr>
      <w:r w:rsidRPr="00D708D6">
        <w:rPr>
          <w:rStyle w:val="FootnoteReference"/>
          <w:rFonts w:ascii="Times New Roman" w:hAnsi="Times New Roman" w:cs="Times New Roman"/>
        </w:rPr>
        <w:footnoteRef/>
      </w:r>
      <w:r w:rsidRPr="00D708D6">
        <w:rPr>
          <w:rFonts w:ascii="Times New Roman" w:hAnsi="Times New Roman" w:cs="Times New Roman"/>
        </w:rPr>
        <w:t xml:space="preserve"> Doutor em História. Professor da Área das Humanidades e vinculado as pesquisas do Programa de Pós-Graduação em Ambiente e Desenvolvimento da Univates. E-mail: </w:t>
      </w:r>
      <w:hyperlink r:id="rId2" w:history="1">
        <w:r w:rsidRPr="00D708D6">
          <w:rPr>
            <w:rStyle w:val="Hyperlink"/>
            <w:rFonts w:ascii="Times New Roman" w:hAnsi="Times New Roman" w:cs="Times New Roman"/>
          </w:rPr>
          <w:t>tweizenmann1@univates.br</w:t>
        </w:r>
      </w:hyperlink>
    </w:p>
  </w:footnote>
  <w:footnote w:id="4">
    <w:p w:rsidR="00C755CD" w:rsidRPr="00D708D6" w:rsidRDefault="00C755CD" w:rsidP="00D708D6">
      <w:pPr>
        <w:pStyle w:val="FootnoteText"/>
        <w:jc w:val="both"/>
        <w:rPr>
          <w:rFonts w:ascii="Times New Roman" w:hAnsi="Times New Roman" w:cs="Times New Roman"/>
        </w:rPr>
      </w:pPr>
      <w:r w:rsidRPr="00D708D6">
        <w:rPr>
          <w:rStyle w:val="FootnoteReference"/>
          <w:rFonts w:ascii="Times New Roman" w:hAnsi="Times New Roman" w:cs="Times New Roman"/>
        </w:rPr>
        <w:footnoteRef/>
      </w:r>
      <w:r w:rsidRPr="00D708D6">
        <w:rPr>
          <w:rFonts w:ascii="Times New Roman" w:hAnsi="Times New Roman" w:cs="Times New Roman"/>
        </w:rPr>
        <w:t xml:space="preserve"> Bolsista de Iniciação científica da Univates. Graduando do Curso de Licenciatura em História. E-mail: </w:t>
      </w:r>
      <w:hyperlink r:id="rId3" w:history="1">
        <w:r w:rsidRPr="00D708D6">
          <w:rPr>
            <w:rStyle w:val="Hyperlink"/>
            <w:rFonts w:ascii="Times New Roman" w:hAnsi="Times New Roman" w:cs="Times New Roman"/>
          </w:rPr>
          <w:t>jeferson.schaeffer@univates.br</w:t>
        </w:r>
      </w:hyperlink>
    </w:p>
    <w:p w:rsidR="00C755CD" w:rsidRDefault="00C755CD" w:rsidP="00D708D6">
      <w:pPr>
        <w:pStyle w:val="FootnoteText"/>
        <w:jc w:val="both"/>
      </w:pPr>
    </w:p>
  </w:footnote>
  <w:footnote w:id="5">
    <w:p w:rsidR="00C755CD" w:rsidRDefault="00C755CD" w:rsidP="00A40905">
      <w:pPr>
        <w:pStyle w:val="FootnoteText"/>
        <w:jc w:val="both"/>
      </w:pPr>
      <w:r w:rsidRPr="00A40905">
        <w:rPr>
          <w:rStyle w:val="FootnoteReference"/>
          <w:rFonts w:ascii="Times New Roman" w:hAnsi="Times New Roman" w:cs="Times New Roman"/>
        </w:rPr>
        <w:footnoteRef/>
      </w:r>
      <w:r w:rsidRPr="00A40905">
        <w:rPr>
          <w:rFonts w:ascii="Times New Roman" w:hAnsi="Times New Roman" w:cs="Times New Roman"/>
        </w:rPr>
        <w:t xml:space="preserve"> Conforme SEMA (2017), as Bacias Hidrográficas Taquari-Antas e Caí inserem-se na região hidrográfica do Guaíba e atendem pelos códigos G040 e G030, respectivamente.</w:t>
      </w:r>
    </w:p>
  </w:footnote>
  <w:footnote w:id="6">
    <w:p w:rsidR="00C755CD" w:rsidRDefault="00C755CD" w:rsidP="00267725">
      <w:pPr>
        <w:pStyle w:val="FootnoteText"/>
        <w:jc w:val="both"/>
      </w:pPr>
      <w:r w:rsidRPr="007D253B">
        <w:rPr>
          <w:rStyle w:val="FootnoteReference"/>
          <w:rFonts w:ascii="Times New Roman" w:hAnsi="Times New Roman" w:cs="Times New Roman"/>
          <w:color w:val="auto"/>
        </w:rPr>
        <w:footnoteRef/>
      </w:r>
      <w:r>
        <w:rPr>
          <w:rFonts w:ascii="Times New Roman" w:hAnsi="Times New Roman" w:cs="Times New Roman"/>
          <w:color w:val="auto"/>
        </w:rPr>
        <w:t xml:space="preserve"> Sobre “frentes de expansão”, entende-se que foram c</w:t>
      </w:r>
      <w:r w:rsidRPr="007D253B">
        <w:rPr>
          <w:rFonts w:ascii="Times New Roman" w:hAnsi="Times New Roman" w:cs="Times New Roman"/>
          <w:color w:val="auto"/>
        </w:rPr>
        <w:t xml:space="preserve">riadas pelo governo da Província de </w:t>
      </w:r>
      <w:r>
        <w:rPr>
          <w:rFonts w:ascii="Times New Roman" w:hAnsi="Times New Roman" w:cs="Times New Roman"/>
          <w:color w:val="auto"/>
        </w:rPr>
        <w:t xml:space="preserve">São Pedro do Rio Grande do Sul – </w:t>
      </w:r>
      <w:r w:rsidRPr="007D253B">
        <w:rPr>
          <w:rFonts w:ascii="Times New Roman" w:hAnsi="Times New Roman" w:cs="Times New Roman"/>
          <w:color w:val="auto"/>
        </w:rPr>
        <w:t>seguindo</w:t>
      </w:r>
      <w:r>
        <w:rPr>
          <w:rFonts w:ascii="Times New Roman" w:hAnsi="Times New Roman" w:cs="Times New Roman"/>
          <w:color w:val="auto"/>
        </w:rPr>
        <w:t xml:space="preserve"> o</w:t>
      </w:r>
      <w:r w:rsidRPr="007D253B">
        <w:rPr>
          <w:rFonts w:ascii="Times New Roman" w:hAnsi="Times New Roman" w:cs="Times New Roman"/>
          <w:color w:val="auto"/>
        </w:rPr>
        <w:t xml:space="preserve"> projeto de desenvolvimento do Estado Nac</w:t>
      </w:r>
      <w:r>
        <w:rPr>
          <w:rFonts w:ascii="Times New Roman" w:hAnsi="Times New Roman" w:cs="Times New Roman"/>
          <w:color w:val="auto"/>
        </w:rPr>
        <w:t xml:space="preserve">ional Brasileiro do século XIX – </w:t>
      </w:r>
      <w:r w:rsidRPr="007D253B">
        <w:rPr>
          <w:rFonts w:ascii="Times New Roman" w:hAnsi="Times New Roman" w:cs="Times New Roman"/>
          <w:color w:val="auto"/>
        </w:rPr>
        <w:t xml:space="preserve">com a finalidade de </w:t>
      </w:r>
      <w:r>
        <w:rPr>
          <w:rFonts w:ascii="Times New Roman" w:hAnsi="Times New Roman" w:cs="Times New Roman"/>
          <w:color w:val="auto"/>
        </w:rPr>
        <w:t xml:space="preserve">colonizar e </w:t>
      </w:r>
      <w:r w:rsidRPr="007D253B">
        <w:rPr>
          <w:rFonts w:ascii="Times New Roman" w:hAnsi="Times New Roman" w:cs="Times New Roman"/>
          <w:color w:val="auto"/>
        </w:rPr>
        <w:t xml:space="preserve">tornar o território mais </w:t>
      </w:r>
      <w:r w:rsidRPr="00102124">
        <w:rPr>
          <w:rFonts w:ascii="Times New Roman" w:hAnsi="Times New Roman" w:cs="Times New Roman"/>
          <w:color w:val="auto"/>
        </w:rPr>
        <w:t>rentável. Martins (1997) traz a</w:t>
      </w:r>
      <w:r>
        <w:rPr>
          <w:rFonts w:ascii="Times New Roman" w:hAnsi="Times New Roman" w:cs="Times New Roman"/>
          <w:color w:val="auto"/>
        </w:rPr>
        <w:t xml:space="preserve"> noção de “frentes de expansão” relacionada à expansão do capitalismo e à um espaço de fricção interétnica, </w:t>
      </w:r>
    </w:p>
  </w:footnote>
  <w:footnote w:id="7">
    <w:p w:rsidR="00C755CD" w:rsidRDefault="00C755CD" w:rsidP="00231806">
      <w:pPr>
        <w:pStyle w:val="FootnoteText"/>
        <w:jc w:val="both"/>
      </w:pPr>
      <w:r w:rsidRPr="00090CA1">
        <w:rPr>
          <w:rStyle w:val="FootnoteReference"/>
          <w:rFonts w:ascii="Times New Roman" w:hAnsi="Times New Roman" w:cs="Times New Roman"/>
        </w:rPr>
        <w:footnoteRef/>
      </w:r>
      <w:r w:rsidRPr="00090CA1">
        <w:rPr>
          <w:rFonts w:ascii="Times New Roman" w:hAnsi="Times New Roman" w:cs="Times New Roman"/>
        </w:rPr>
        <w:t xml:space="preserve"> Igualmente, não deixamos de </w:t>
      </w:r>
      <w:r w:rsidRPr="00102124">
        <w:rPr>
          <w:rFonts w:ascii="Times New Roman" w:hAnsi="Times New Roman" w:cs="Times New Roman"/>
        </w:rPr>
        <w:t>mencionar os imigrantes holandeses oriundos da onda migratória do século XX, os quais formaram colônias holandesas existentes até os dias atuais no Brasil, conforme trata a obra de Riel e Zart (2011), sobre a imigração holandesa de Não-Me-Toque/RS.</w:t>
      </w:r>
    </w:p>
  </w:footnote>
  <w:footnote w:id="8">
    <w:p w:rsidR="00C755CD" w:rsidRDefault="00C755CD">
      <w:pPr>
        <w:pStyle w:val="FootnoteText"/>
      </w:pPr>
      <w:r w:rsidRPr="00102124">
        <w:rPr>
          <w:rStyle w:val="FootnoteReference"/>
          <w:rFonts w:ascii="Times New Roman" w:hAnsi="Times New Roman" w:cs="Times New Roman"/>
          <w:color w:val="auto"/>
        </w:rPr>
        <w:footnoteRef/>
      </w:r>
      <w:r w:rsidRPr="00102124">
        <w:rPr>
          <w:rFonts w:ascii="Times New Roman" w:hAnsi="Times New Roman" w:cs="Times New Roman"/>
          <w:color w:val="auto"/>
        </w:rPr>
        <w:t xml:space="preserve"> </w:t>
      </w:r>
      <w:r w:rsidRPr="00102124">
        <w:rPr>
          <w:rFonts w:ascii="Times New Roman" w:hAnsi="Times New Roman" w:cs="Times New Roman"/>
          <w:color w:val="auto"/>
          <w:shd w:val="clear" w:color="auto" w:fill="FFFFFF"/>
        </w:rPr>
        <w:t>CHRISTIAN TE ROLLER, filho de Heinrich Te Roller de Eibergen, Holanda</w:t>
      </w:r>
      <w:r w:rsidRPr="00FD2ECD">
        <w:rPr>
          <w:rFonts w:ascii="Times New Roman" w:hAnsi="Times New Roman" w:cs="Times New Roman"/>
          <w:color w:val="auto"/>
          <w:shd w:val="clear" w:color="auto" w:fill="FFFFFF"/>
        </w:rPr>
        <w:t>, e Henricka nascida Abenk, com</w:t>
      </w:r>
      <w:r w:rsidRPr="00FD2ECD">
        <w:rPr>
          <w:rFonts w:ascii="Times New Roman" w:hAnsi="Times New Roman" w:cs="Times New Roman"/>
          <w:color w:val="222222"/>
          <w:shd w:val="clear" w:color="auto" w:fill="FFFFFF"/>
        </w:rPr>
        <w:t xml:space="preserve"> </w:t>
      </w:r>
      <w:r w:rsidRPr="00FD2ECD">
        <w:rPr>
          <w:rFonts w:ascii="Times New Roman" w:hAnsi="Times New Roman" w:cs="Times New Roman"/>
          <w:color w:val="auto"/>
          <w:shd w:val="clear" w:color="auto" w:fill="FFFFFF"/>
        </w:rPr>
        <w:t>CATHARINA TAFFE, filha de Carl Taffe, de Hessen, e Philippine nascida Haas, serão casados neste dia, ao (18) décimo oitavo de abril de (1876) mil oitocentos setenta e seis (Tradução do autor).</w:t>
      </w:r>
    </w:p>
  </w:footnote>
  <w:footnote w:id="9">
    <w:p w:rsidR="00C755CD" w:rsidRDefault="00C755CD" w:rsidP="00096122">
      <w:pPr>
        <w:pStyle w:val="FootnoteText"/>
        <w:jc w:val="both"/>
      </w:pPr>
      <w:r w:rsidRPr="00762855">
        <w:rPr>
          <w:rStyle w:val="FootnoteReference"/>
          <w:rFonts w:ascii="Times New Roman" w:hAnsi="Times New Roman" w:cs="Times New Roman"/>
        </w:rPr>
        <w:footnoteRef/>
      </w:r>
      <w:r w:rsidRPr="00762855">
        <w:rPr>
          <w:rFonts w:ascii="Times New Roman" w:hAnsi="Times New Roman" w:cs="Times New Roman"/>
        </w:rPr>
        <w:t xml:space="preserve"> De acordo </w:t>
      </w:r>
      <w:r w:rsidRPr="00102124">
        <w:rPr>
          <w:rFonts w:ascii="Times New Roman" w:hAnsi="Times New Roman" w:cs="Times New Roman"/>
        </w:rPr>
        <w:t>com Roche (1969), tratavam-se de espaços criadas para estabelecerem-se imigrantes europeus, de caráter oficial ou privado, cujas colônias eram autossuficientes e baseadas na pequena propriedade rural.</w:t>
      </w:r>
    </w:p>
  </w:footnote>
  <w:footnote w:id="10">
    <w:p w:rsidR="00C755CD" w:rsidRDefault="00C755CD" w:rsidP="002C7CAA">
      <w:pPr>
        <w:pStyle w:val="FootnoteText"/>
        <w:jc w:val="both"/>
      </w:pPr>
      <w:r w:rsidRPr="00102124">
        <w:rPr>
          <w:rStyle w:val="FootnoteReference"/>
          <w:rFonts w:ascii="Times New Roman" w:hAnsi="Times New Roman" w:cs="Times New Roman"/>
        </w:rPr>
        <w:footnoteRef/>
      </w:r>
      <w:r w:rsidRPr="00102124">
        <w:rPr>
          <w:rFonts w:ascii="Times New Roman" w:hAnsi="Times New Roman" w:cs="Times New Roman"/>
        </w:rPr>
        <w:t xml:space="preserve"> Conforme Christillino (2004), tratavam-se de extensões territoriais que não se achavam sob domínio de particulares, ou seja, mesmo que ocupadas por populações tradicionais, estavam aptas a serem concedidas na forma de sesmarias, e mais tarde, após a Lei de Terras de 1850, à particulares para colonização e comercialização.</w:t>
      </w:r>
    </w:p>
  </w:footnote>
  <w:footnote w:id="11">
    <w:p w:rsidR="00C755CD" w:rsidRDefault="00C755CD" w:rsidP="00267725">
      <w:pPr>
        <w:pStyle w:val="FootnoteText"/>
        <w:jc w:val="both"/>
      </w:pPr>
      <w:r w:rsidRPr="00102124">
        <w:rPr>
          <w:rStyle w:val="FootnoteReference"/>
          <w:rFonts w:ascii="Times New Roman" w:hAnsi="Times New Roman" w:cs="Times New Roman"/>
        </w:rPr>
        <w:footnoteRef/>
      </w:r>
      <w:r w:rsidRPr="00102124">
        <w:rPr>
          <w:rFonts w:ascii="Times New Roman" w:hAnsi="Times New Roman" w:cs="Times New Roman"/>
        </w:rPr>
        <w:t xml:space="preserve"> Conforme Roche (1969), o recrutamento de colonos fora feito pelo Major Schaeffer, agente do Governo Brasileiro na Europa, que era conhecido de Dom Pedro I e já havia engajado voluntários para os batalhões anos antes.</w:t>
      </w:r>
    </w:p>
  </w:footnote>
  <w:footnote w:id="12">
    <w:p w:rsidR="00C755CD" w:rsidRDefault="00C755CD" w:rsidP="00267725">
      <w:pPr>
        <w:pStyle w:val="FootnoteText"/>
        <w:jc w:val="both"/>
      </w:pPr>
      <w:r w:rsidRPr="00762855">
        <w:rPr>
          <w:rStyle w:val="FootnoteReference"/>
          <w:rFonts w:ascii="Times New Roman" w:hAnsi="Times New Roman" w:cs="Times New Roman"/>
        </w:rPr>
        <w:footnoteRef/>
      </w:r>
      <w:r>
        <w:rPr>
          <w:rFonts w:ascii="Times New Roman" w:hAnsi="Times New Roman" w:cs="Times New Roman"/>
        </w:rPr>
        <w:t xml:space="preserve"> </w:t>
      </w:r>
      <w:r w:rsidRPr="00762855">
        <w:rPr>
          <w:rFonts w:ascii="Times New Roman" w:hAnsi="Times New Roman" w:cs="Times New Roman"/>
        </w:rPr>
        <w:t xml:space="preserve">De acordo com </w:t>
      </w:r>
      <w:r w:rsidRPr="00102124">
        <w:rPr>
          <w:rFonts w:ascii="Times New Roman" w:hAnsi="Times New Roman" w:cs="Times New Roman"/>
        </w:rPr>
        <w:t xml:space="preserve">Christillino (2004), a Lei de Terras de 1850 proibia a obtenção de terras através da posse, permitindo, a partir daquele momento, a aquisição de terras devolutas somente através da compra. Igualmente, a lei previa que posseiros legitimassem suas posses de acordo com o prazo estipulado. Neste sentido, Christillino </w:t>
      </w:r>
      <w:r w:rsidRPr="00102124">
        <w:rPr>
          <w:rFonts w:ascii="Times New Roman" w:hAnsi="Times New Roman" w:cs="Times New Roman"/>
          <w:color w:val="auto"/>
        </w:rPr>
        <w:t>(2004) conclui</w:t>
      </w:r>
      <w:r w:rsidRPr="00102124">
        <w:rPr>
          <w:rFonts w:ascii="Times New Roman" w:hAnsi="Times New Roman" w:cs="Times New Roman"/>
        </w:rPr>
        <w:t xml:space="preserve"> que a referida Lei fora fundamental no processo de expropriação das populações indígenas de seus tradicionais territórios.</w:t>
      </w:r>
    </w:p>
  </w:footnote>
  <w:footnote w:id="13">
    <w:p w:rsidR="00C755CD" w:rsidRDefault="00C755CD" w:rsidP="00762855">
      <w:pPr>
        <w:pStyle w:val="FootnoteText"/>
        <w:jc w:val="both"/>
      </w:pPr>
      <w:r w:rsidRPr="00102124">
        <w:rPr>
          <w:rStyle w:val="FootnoteReference"/>
          <w:rFonts w:ascii="Times New Roman" w:hAnsi="Times New Roman" w:cs="Times New Roman"/>
        </w:rPr>
        <w:footnoteRef/>
      </w:r>
      <w:r w:rsidRPr="00102124">
        <w:rPr>
          <w:rFonts w:ascii="Times New Roman" w:hAnsi="Times New Roman" w:cs="Times New Roman"/>
        </w:rPr>
        <w:t>Marie Barbe Antoniette Rutgeerts van Langendonck, escritora e poetisa belga, emigrou para o Brasil no ano de 1857, instalando-se na Colônia de Santa Maria da Soledade, onde viveu por três anos. Em 1862, tendo já regressado à Bélgica, escreveu a obra “</w:t>
      </w:r>
      <w:r w:rsidRPr="00102124">
        <w:rPr>
          <w:rFonts w:ascii="Times New Roman" w:hAnsi="Times New Roman" w:cs="Times New Roman"/>
          <w:i/>
          <w:iCs/>
        </w:rPr>
        <w:t>Une colonie au Brésil”</w:t>
      </w:r>
      <w:r w:rsidRPr="00102124">
        <w:rPr>
          <w:rFonts w:ascii="Times New Roman" w:hAnsi="Times New Roman" w:cs="Times New Roman"/>
        </w:rPr>
        <w:t>, registrando importantes experiências vividas durante o processo colonizatório da Província de São Pedro do Rio Grande do Sul.</w:t>
      </w:r>
    </w:p>
  </w:footnote>
  <w:footnote w:id="14">
    <w:p w:rsidR="00C755CD" w:rsidRDefault="00C755CD" w:rsidP="00762855">
      <w:pPr>
        <w:pStyle w:val="FootnoteText"/>
      </w:pPr>
      <w:r w:rsidRPr="00102124">
        <w:rPr>
          <w:rStyle w:val="FootnoteReference"/>
          <w:rFonts w:ascii="Times New Roman" w:hAnsi="Times New Roman" w:cs="Times New Roman"/>
        </w:rPr>
        <w:footnoteRef/>
      </w:r>
      <w:r w:rsidRPr="00102124">
        <w:rPr>
          <w:rFonts w:ascii="Times New Roman" w:hAnsi="Times New Roman" w:cs="Times New Roman"/>
        </w:rPr>
        <w:t xml:space="preserve"> Portanto, em espaços da Bacia Hidrográfica do Caí.</w:t>
      </w:r>
    </w:p>
  </w:footnote>
  <w:footnote w:id="15">
    <w:p w:rsidR="00C755CD" w:rsidRDefault="00C755CD" w:rsidP="00762855">
      <w:pPr>
        <w:pStyle w:val="FootnoteText"/>
      </w:pPr>
      <w:r w:rsidRPr="00102124">
        <w:rPr>
          <w:rStyle w:val="FootnoteReference"/>
          <w:rFonts w:ascii="Times New Roman" w:hAnsi="Times New Roman" w:cs="Times New Roman"/>
        </w:rPr>
        <w:footnoteRef/>
      </w:r>
      <w:r w:rsidRPr="00102124">
        <w:rPr>
          <w:rFonts w:ascii="Times New Roman" w:hAnsi="Times New Roman" w:cs="Times New Roman"/>
        </w:rPr>
        <w:t xml:space="preserve"> CONTRATO de 30 de dezembro de 1854. Fundo Imigração</w:t>
      </w:r>
      <w:r w:rsidRPr="00762855">
        <w:rPr>
          <w:rFonts w:ascii="Times New Roman" w:hAnsi="Times New Roman" w:cs="Times New Roman"/>
        </w:rPr>
        <w:t>, Terras e Colonização, maço 35, caixa 20, AHRS.</w:t>
      </w:r>
    </w:p>
  </w:footnote>
  <w:footnote w:id="16">
    <w:p w:rsidR="00C755CD" w:rsidRDefault="00C755CD" w:rsidP="00762855">
      <w:pPr>
        <w:pStyle w:val="Normal1"/>
        <w:spacing w:after="0" w:line="240" w:lineRule="auto"/>
        <w:jc w:val="both"/>
      </w:pPr>
      <w:r w:rsidRPr="00762855">
        <w:rPr>
          <w:rStyle w:val="FootnoteReference"/>
          <w:rFonts w:ascii="Times New Roman" w:hAnsi="Times New Roman" w:cs="Times New Roman"/>
          <w:sz w:val="20"/>
          <w:szCs w:val="20"/>
        </w:rPr>
        <w:footnoteRef/>
      </w:r>
      <w:r w:rsidRPr="00762855">
        <w:rPr>
          <w:rFonts w:ascii="Times New Roman" w:hAnsi="Times New Roman" w:cs="Times New Roman"/>
          <w:sz w:val="20"/>
          <w:szCs w:val="20"/>
        </w:rPr>
        <w:t xml:space="preserve"> CONTRATO de 06 de fevereiro de 1855. Fundo Imigração, Terras e Colonização, maço 35, caixa 20, </w:t>
      </w:r>
      <w:r w:rsidRPr="00190ED1">
        <w:rPr>
          <w:rFonts w:ascii="Times New Roman" w:hAnsi="Times New Roman" w:cs="Times New Roman"/>
          <w:i/>
          <w:iCs/>
          <w:sz w:val="20"/>
          <w:szCs w:val="20"/>
        </w:rPr>
        <w:t>AHRS</w:t>
      </w:r>
      <w:r w:rsidRPr="00762855">
        <w:rPr>
          <w:rFonts w:ascii="Times New Roman" w:hAnsi="Times New Roman" w:cs="Times New Roman"/>
          <w:sz w:val="20"/>
          <w:szCs w:val="20"/>
        </w:rPr>
        <w:t>.</w:t>
      </w:r>
    </w:p>
  </w:footnote>
  <w:footnote w:id="17">
    <w:p w:rsidR="00C755CD" w:rsidRDefault="00C755CD" w:rsidP="00762855">
      <w:pPr>
        <w:pStyle w:val="Normal1"/>
        <w:spacing w:after="0" w:line="240" w:lineRule="auto"/>
        <w:jc w:val="both"/>
      </w:pPr>
      <w:r w:rsidRPr="00102124">
        <w:rPr>
          <w:rStyle w:val="FootnoteReference"/>
          <w:rFonts w:ascii="Times New Roman" w:hAnsi="Times New Roman" w:cs="Times New Roman"/>
          <w:sz w:val="20"/>
          <w:szCs w:val="20"/>
        </w:rPr>
        <w:footnoteRef/>
      </w:r>
      <w:r w:rsidRPr="00102124">
        <w:rPr>
          <w:rFonts w:ascii="Times New Roman" w:hAnsi="Times New Roman" w:cs="Times New Roman"/>
          <w:sz w:val="20"/>
          <w:szCs w:val="20"/>
        </w:rPr>
        <w:t xml:space="preserve"> O Códice 313, arrolou </w:t>
      </w:r>
      <w:r>
        <w:rPr>
          <w:rFonts w:ascii="Times New Roman" w:hAnsi="Times New Roman" w:cs="Times New Roman"/>
          <w:sz w:val="20"/>
          <w:szCs w:val="20"/>
        </w:rPr>
        <w:t>os proprietários de terras na antiga</w:t>
      </w:r>
      <w:r w:rsidRPr="00102124">
        <w:rPr>
          <w:rFonts w:ascii="Times New Roman" w:hAnsi="Times New Roman" w:cs="Times New Roman"/>
          <w:sz w:val="20"/>
          <w:szCs w:val="20"/>
        </w:rPr>
        <w:t xml:space="preserve"> Colônia de Santa Maria da Soledade. A relação de colonos ali residentes por volta de 1880, dividiu-se em dois volumes na sequência de quatro Distritos: Barcellos, Silveiro, Coelho e Montravel. O material não possuí datação.</w:t>
      </w:r>
    </w:p>
  </w:footnote>
  <w:footnote w:id="18">
    <w:p w:rsidR="00C755CD" w:rsidRDefault="00C755CD" w:rsidP="00762855">
      <w:pPr>
        <w:pStyle w:val="FootnoteText"/>
        <w:jc w:val="both"/>
      </w:pPr>
      <w:r w:rsidRPr="00102124">
        <w:rPr>
          <w:rStyle w:val="FootnoteReference"/>
          <w:rFonts w:ascii="Times New Roman" w:hAnsi="Times New Roman" w:cs="Times New Roman"/>
          <w:color w:val="auto"/>
        </w:rPr>
        <w:footnoteRef/>
      </w:r>
      <w:r w:rsidRPr="00102124">
        <w:rPr>
          <w:rFonts w:ascii="Times New Roman" w:hAnsi="Times New Roman" w:cs="Times New Roman"/>
          <w:color w:val="auto"/>
        </w:rPr>
        <w:t xml:space="preserve"> CÓDICE 234. Livro de</w:t>
      </w:r>
      <w:r w:rsidRPr="00762855">
        <w:rPr>
          <w:rFonts w:ascii="Times New Roman" w:hAnsi="Times New Roman" w:cs="Times New Roman"/>
          <w:color w:val="auto"/>
        </w:rPr>
        <w:t xml:space="preserve"> registros de colonos chegado à Província de São Pedro do Rio Grande do Sul (1857-1863). </w:t>
      </w:r>
      <w:r w:rsidRPr="00190ED1">
        <w:rPr>
          <w:rFonts w:ascii="Times New Roman" w:hAnsi="Times New Roman" w:cs="Times New Roman"/>
          <w:i/>
          <w:iCs/>
          <w:color w:val="auto"/>
        </w:rPr>
        <w:t>AHRS</w:t>
      </w:r>
      <w:r w:rsidRPr="00762855">
        <w:rPr>
          <w:rFonts w:ascii="Times New Roman" w:hAnsi="Times New Roman" w:cs="Times New Roman"/>
          <w:color w:val="auto"/>
        </w:rPr>
        <w:t>. Fundo Imigração, Terras e Colonização.</w:t>
      </w:r>
    </w:p>
  </w:footnote>
  <w:footnote w:id="19">
    <w:p w:rsidR="00C755CD" w:rsidRDefault="00C755CD" w:rsidP="00762855">
      <w:pPr>
        <w:pStyle w:val="Normal1"/>
        <w:keepNext w:val="0"/>
        <w:spacing w:after="0" w:line="240" w:lineRule="auto"/>
        <w:jc w:val="both"/>
      </w:pPr>
      <w:r w:rsidRPr="00762855">
        <w:rPr>
          <w:rStyle w:val="FootnoteReference"/>
          <w:rFonts w:ascii="Times New Roman" w:hAnsi="Times New Roman" w:cs="Times New Roman"/>
          <w:color w:val="auto"/>
          <w:sz w:val="20"/>
          <w:szCs w:val="20"/>
        </w:rPr>
        <w:footnoteRef/>
      </w:r>
      <w:r w:rsidRPr="00762855">
        <w:rPr>
          <w:rFonts w:ascii="Times New Roman" w:hAnsi="Times New Roman" w:cs="Times New Roman"/>
          <w:color w:val="auto"/>
          <w:sz w:val="20"/>
          <w:szCs w:val="20"/>
        </w:rPr>
        <w:t xml:space="preserve"> CÓDICE 313. Livro de lotes da Ex-Colônia Santa Maria da Soledade. Fundo Imigração, Terras e Colonização, </w:t>
      </w:r>
      <w:r w:rsidRPr="00190ED1">
        <w:rPr>
          <w:rFonts w:ascii="Times New Roman" w:hAnsi="Times New Roman" w:cs="Times New Roman"/>
          <w:i/>
          <w:iCs/>
          <w:color w:val="auto"/>
          <w:sz w:val="20"/>
          <w:szCs w:val="20"/>
        </w:rPr>
        <w:t>AHRS</w:t>
      </w:r>
      <w:r w:rsidRPr="00762855">
        <w:rPr>
          <w:rFonts w:ascii="Times New Roman" w:hAnsi="Times New Roman" w:cs="Times New Roman"/>
          <w:color w:val="auto"/>
          <w:sz w:val="20"/>
          <w:szCs w:val="20"/>
        </w:rPr>
        <w:t>.</w:t>
      </w:r>
    </w:p>
  </w:footnote>
  <w:footnote w:id="20">
    <w:p w:rsidR="00C755CD" w:rsidRDefault="00C755CD" w:rsidP="00762855">
      <w:pPr>
        <w:pStyle w:val="FootnoteText"/>
        <w:jc w:val="both"/>
      </w:pPr>
      <w:r w:rsidRPr="00762855">
        <w:rPr>
          <w:rStyle w:val="FootnoteReference"/>
          <w:rFonts w:ascii="Times New Roman" w:hAnsi="Times New Roman" w:cs="Times New Roman"/>
          <w:color w:val="auto"/>
        </w:rPr>
        <w:footnoteRef/>
      </w:r>
      <w:r w:rsidRPr="00762855">
        <w:rPr>
          <w:rFonts w:ascii="Times New Roman" w:hAnsi="Times New Roman" w:cs="Times New Roman"/>
          <w:color w:val="auto"/>
        </w:rPr>
        <w:t>Na atualidade, os municípios de São Vendeli</w:t>
      </w:r>
      <w:r>
        <w:rPr>
          <w:rFonts w:ascii="Times New Roman" w:hAnsi="Times New Roman" w:cs="Times New Roman"/>
          <w:color w:val="auto"/>
        </w:rPr>
        <w:t>no, Barão e partes de Carlos Bar</w:t>
      </w:r>
      <w:r w:rsidRPr="00762855">
        <w:rPr>
          <w:rFonts w:ascii="Times New Roman" w:hAnsi="Times New Roman" w:cs="Times New Roman"/>
          <w:color w:val="auto"/>
        </w:rPr>
        <w:t>bosa, localizados na Bacia Hidrográfica do Caí, Rio Grande do Sul, comporiam a Colônia fundada pelo Conde de Montravel.</w:t>
      </w:r>
    </w:p>
  </w:footnote>
  <w:footnote w:id="21">
    <w:p w:rsidR="00C755CD" w:rsidRDefault="00C755CD" w:rsidP="00287F24">
      <w:pPr>
        <w:pStyle w:val="FootnoteText"/>
        <w:jc w:val="both"/>
      </w:pPr>
      <w:r w:rsidRPr="00C92E5B">
        <w:rPr>
          <w:rStyle w:val="FootnoteReference"/>
          <w:rFonts w:ascii="Times New Roman" w:hAnsi="Times New Roman" w:cs="Times New Roman"/>
        </w:rPr>
        <w:footnoteRef/>
      </w:r>
      <w:r w:rsidRPr="00C92E5B">
        <w:rPr>
          <w:rFonts w:ascii="Times New Roman" w:hAnsi="Times New Roman" w:cs="Times New Roman"/>
        </w:rPr>
        <w:t xml:space="preserve"> </w:t>
      </w:r>
      <w:r w:rsidRPr="00C92E5B">
        <w:rPr>
          <w:rFonts w:ascii="Times New Roman" w:hAnsi="Times New Roman" w:cs="Times New Roman"/>
          <w:shd w:val="clear" w:color="auto" w:fill="FFFFFF"/>
        </w:rPr>
        <w:t xml:space="preserve">Estaríamos muito contentes e felizes se não fosse um grande mal, isto é, se homens selvagens, que já desde muito tornaram os matos inseguros e roubaram a vida de 21 irmãos alemães. [...] se não tivessem que satisfazer o seu desejo de </w:t>
      </w:r>
      <w:r w:rsidRPr="00C92E5B">
        <w:rPr>
          <w:rFonts w:ascii="Times New Roman" w:hAnsi="Times New Roman" w:cs="Times New Roman"/>
          <w:b/>
          <w:bCs/>
          <w:shd w:val="clear" w:color="auto" w:fill="FFFFFF"/>
        </w:rPr>
        <w:t>roubo e morte</w:t>
      </w:r>
      <w:r w:rsidRPr="00C92E5B">
        <w:rPr>
          <w:rFonts w:ascii="Times New Roman" w:hAnsi="Times New Roman" w:cs="Times New Roman"/>
          <w:shd w:val="clear" w:color="auto" w:fill="FFFFFF"/>
        </w:rPr>
        <w:t xml:space="preserve">. Trata-se principalmente da </w:t>
      </w:r>
      <w:r>
        <w:rPr>
          <w:rFonts w:ascii="Times New Roman" w:hAnsi="Times New Roman" w:cs="Times New Roman"/>
          <w:shd w:val="clear" w:color="auto" w:fill="FFFFFF"/>
        </w:rPr>
        <w:t xml:space="preserve">busca de instrumentos de ferro </w:t>
      </w:r>
      <w:r w:rsidRPr="00C92E5B">
        <w:rPr>
          <w:rFonts w:ascii="Times New Roman" w:hAnsi="Times New Roman" w:cs="Times New Roman"/>
          <w:shd w:val="clear" w:color="auto" w:fill="FFFFFF"/>
        </w:rPr>
        <w:t>(Tradução do autor).</w:t>
      </w:r>
    </w:p>
  </w:footnote>
  <w:footnote w:id="22">
    <w:p w:rsidR="00C755CD" w:rsidRDefault="00C755CD" w:rsidP="00267725">
      <w:pPr>
        <w:pStyle w:val="FootnoteText"/>
        <w:jc w:val="both"/>
      </w:pPr>
      <w:r w:rsidRPr="003B4046">
        <w:rPr>
          <w:rStyle w:val="FootnoteReference"/>
          <w:rFonts w:ascii="Times New Roman" w:hAnsi="Times New Roman" w:cs="Times New Roman"/>
        </w:rPr>
        <w:footnoteRef/>
      </w:r>
      <w:r w:rsidRPr="003B4046">
        <w:rPr>
          <w:rFonts w:ascii="Times New Roman" w:hAnsi="Times New Roman" w:cs="Times New Roman"/>
          <w:color w:val="auto"/>
        </w:rPr>
        <w:t>A obra escrita pe</w:t>
      </w:r>
      <w:r>
        <w:rPr>
          <w:rFonts w:ascii="Times New Roman" w:hAnsi="Times New Roman" w:cs="Times New Roman"/>
          <w:color w:val="auto"/>
        </w:rPr>
        <w:t xml:space="preserve">lo cônego Matias José Gansweidt e </w:t>
      </w:r>
      <w:r w:rsidRPr="003B4046">
        <w:rPr>
          <w:rFonts w:ascii="Times New Roman" w:hAnsi="Times New Roman" w:cs="Times New Roman"/>
          <w:color w:val="auto"/>
        </w:rPr>
        <w:t xml:space="preserve">publicada pela primeira vez no ano de 1929, teve grande preocupação em comprovar a veracidade dos fatos. Neste intuito, </w:t>
      </w:r>
      <w:r>
        <w:rPr>
          <w:rFonts w:ascii="Times New Roman" w:hAnsi="Times New Roman" w:cs="Times New Roman"/>
          <w:color w:val="auto"/>
        </w:rPr>
        <w:t xml:space="preserve">o religioso </w:t>
      </w:r>
      <w:r w:rsidRPr="003B4046">
        <w:rPr>
          <w:rFonts w:ascii="Times New Roman" w:hAnsi="Times New Roman" w:cs="Times New Roman"/>
          <w:color w:val="auto"/>
        </w:rPr>
        <w:t>firmou uma declaração com o próprio Jacob Versteeg, escrita em alemão e data</w:t>
      </w:r>
      <w:r>
        <w:rPr>
          <w:rFonts w:ascii="Times New Roman" w:hAnsi="Times New Roman" w:cs="Times New Roman"/>
          <w:color w:val="auto"/>
        </w:rPr>
        <w:t>da</w:t>
      </w:r>
      <w:r w:rsidRPr="003B4046">
        <w:rPr>
          <w:rFonts w:ascii="Times New Roman" w:hAnsi="Times New Roman" w:cs="Times New Roman"/>
          <w:color w:val="auto"/>
        </w:rPr>
        <w:t xml:space="preserve"> de 03 de outubro de 1928, em que</w:t>
      </w:r>
      <w:r>
        <w:rPr>
          <w:rFonts w:ascii="Times New Roman" w:hAnsi="Times New Roman" w:cs="Times New Roman"/>
          <w:color w:val="auto"/>
        </w:rPr>
        <w:t xml:space="preserve"> Versteeg</w:t>
      </w:r>
      <w:r w:rsidRPr="003B4046">
        <w:rPr>
          <w:rFonts w:ascii="Times New Roman" w:hAnsi="Times New Roman" w:cs="Times New Roman"/>
          <w:color w:val="auto"/>
        </w:rPr>
        <w:t xml:space="preserve"> atesta a participação nos relato</w:t>
      </w:r>
      <w:r>
        <w:rPr>
          <w:rFonts w:ascii="Times New Roman" w:hAnsi="Times New Roman" w:cs="Times New Roman"/>
          <w:color w:val="auto"/>
        </w:rPr>
        <w:t>s e concede a autorização do</w:t>
      </w:r>
      <w:r w:rsidRPr="003B4046">
        <w:rPr>
          <w:rFonts w:ascii="Times New Roman" w:hAnsi="Times New Roman" w:cs="Times New Roman"/>
          <w:color w:val="auto"/>
        </w:rPr>
        <w:t xml:space="preserve"> uso dos mesmos para a referida obra. Ainda assim, </w:t>
      </w:r>
      <w:r>
        <w:rPr>
          <w:rFonts w:ascii="Times New Roman" w:hAnsi="Times New Roman" w:cs="Times New Roman"/>
          <w:color w:val="auto"/>
        </w:rPr>
        <w:t xml:space="preserve">durante a narrativa, é possível notar que </w:t>
      </w:r>
      <w:r w:rsidRPr="003B4046">
        <w:rPr>
          <w:rFonts w:ascii="Times New Roman" w:hAnsi="Times New Roman" w:cs="Times New Roman"/>
          <w:color w:val="auto"/>
        </w:rPr>
        <w:t>fizera uso de diferentes fontes, inclusive de documentações</w:t>
      </w:r>
      <w:r>
        <w:rPr>
          <w:rFonts w:ascii="Times New Roman" w:hAnsi="Times New Roman" w:cs="Times New Roman"/>
          <w:color w:val="auto"/>
        </w:rPr>
        <w:t>/cartas</w:t>
      </w:r>
      <w:r w:rsidRPr="003B4046">
        <w:rPr>
          <w:rFonts w:ascii="Times New Roman" w:hAnsi="Times New Roman" w:cs="Times New Roman"/>
          <w:color w:val="auto"/>
        </w:rPr>
        <w:t xml:space="preserve"> da época.</w:t>
      </w:r>
    </w:p>
  </w:footnote>
  <w:footnote w:id="23">
    <w:p w:rsidR="00C755CD" w:rsidRDefault="00C755CD" w:rsidP="00267725">
      <w:pPr>
        <w:pStyle w:val="FootnoteText"/>
        <w:jc w:val="both"/>
      </w:pPr>
      <w:r w:rsidRPr="003B4046">
        <w:rPr>
          <w:rStyle w:val="FootnoteReference"/>
          <w:rFonts w:ascii="Times New Roman" w:hAnsi="Times New Roman" w:cs="Times New Roman"/>
        </w:rPr>
        <w:footnoteRef/>
      </w:r>
      <w:r w:rsidRPr="003B4046">
        <w:rPr>
          <w:rFonts w:ascii="Times New Roman" w:hAnsi="Times New Roman" w:cs="Times New Roman"/>
        </w:rPr>
        <w:t>Em sua maioria, os sobrenomes holandeses no Rio Grande do Sul possuem incoerência quanto à grafia utilizada originalmente na Holanda. Uma justificativa</w:t>
      </w:r>
      <w:r>
        <w:rPr>
          <w:rFonts w:ascii="Times New Roman" w:hAnsi="Times New Roman" w:cs="Times New Roman"/>
        </w:rPr>
        <w:t xml:space="preserve"> para isto pode ser a incompreensão dos Padres/Pastores e Oficias de registros, não habituados com a pronúncia das variedades linguísticas destes imigrantes. Neste trabalho, fez-se uso da grafia “Versteeg”, empregada em registros atinentes aos referidos imigrantes na Holanda.</w:t>
      </w:r>
    </w:p>
  </w:footnote>
  <w:footnote w:id="24">
    <w:p w:rsidR="00C755CD" w:rsidRPr="00C96380" w:rsidRDefault="00C755CD" w:rsidP="00C96380">
      <w:pPr>
        <w:shd w:val="clear" w:color="auto" w:fill="FFFFFF"/>
        <w:jc w:val="both"/>
        <w:rPr>
          <w:rFonts w:ascii="Times New Roman" w:hAnsi="Times New Roman" w:cs="Times New Roman"/>
          <w:color w:val="222222"/>
          <w:sz w:val="20"/>
          <w:szCs w:val="20"/>
        </w:rPr>
      </w:pPr>
      <w:r w:rsidRPr="00C96380">
        <w:rPr>
          <w:rStyle w:val="FootnoteReference"/>
        </w:rPr>
        <w:footnoteRef/>
      </w:r>
      <w:r w:rsidRPr="00C96380">
        <w:t xml:space="preserve"> </w:t>
      </w:r>
      <w:r w:rsidRPr="00C96380">
        <w:rPr>
          <w:rFonts w:ascii="Times New Roman" w:hAnsi="Times New Roman" w:cs="Times New Roman"/>
          <w:color w:val="222222"/>
          <w:sz w:val="20"/>
          <w:szCs w:val="20"/>
        </w:rPr>
        <w:t>Ao décimo segundo dia do mês de novembro do ano de mil oitocentos e vinte e dois, doze horas ao meio-dia.Ato de nascimento de Lambertus, nascido aos onze dias, pela manhã às seis horas, filho de Jacob Versteeg, de vinte e cinco anos [...], e Maria Wydogen, moradora de Breesteeg. [...] Esta Lei foi assinada depois de minha leitura, pelo pai e pelas duas testemunhas, confirmada pelo Prefeito, assinado por mim,  Oficial do Estado Civil da Cidade de Haarlem</w:t>
      </w:r>
      <w:r>
        <w:rPr>
          <w:rFonts w:ascii="Times New Roman" w:hAnsi="Times New Roman" w:cs="Times New Roman"/>
          <w:color w:val="222222"/>
          <w:sz w:val="20"/>
          <w:szCs w:val="20"/>
        </w:rPr>
        <w:t xml:space="preserve"> (Tradução do autor).</w:t>
      </w:r>
    </w:p>
    <w:p w:rsidR="00C755CD" w:rsidRDefault="00C755CD" w:rsidP="00C96380">
      <w:pPr>
        <w:shd w:val="clear" w:color="auto" w:fill="FFFFFF"/>
        <w:jc w:val="both"/>
      </w:pPr>
    </w:p>
  </w:footnote>
  <w:footnote w:id="25">
    <w:p w:rsidR="00C755CD" w:rsidRDefault="00C755CD" w:rsidP="00267725">
      <w:pPr>
        <w:pStyle w:val="FootnoteText"/>
        <w:jc w:val="both"/>
      </w:pPr>
      <w:r w:rsidRPr="008F7A64">
        <w:rPr>
          <w:rStyle w:val="FootnoteReference"/>
          <w:rFonts w:ascii="Times New Roman" w:hAnsi="Times New Roman" w:cs="Times New Roman"/>
          <w:color w:val="auto"/>
        </w:rPr>
        <w:footnoteRef/>
      </w:r>
      <w:r w:rsidRPr="008F7A64">
        <w:rPr>
          <w:rFonts w:ascii="Times New Roman" w:hAnsi="Times New Roman" w:cs="Times New Roman"/>
          <w:color w:val="auto"/>
        </w:rPr>
        <w:t xml:space="preserve"> Por quermesse, entende-se que sejam os festejos paroquiais realizados anualmente pelas instituições religiosas. </w:t>
      </w:r>
    </w:p>
  </w:footnote>
  <w:footnote w:id="26">
    <w:p w:rsidR="00C755CD" w:rsidRDefault="00C755CD" w:rsidP="00267725">
      <w:pPr>
        <w:pStyle w:val="FootnoteText"/>
        <w:jc w:val="both"/>
      </w:pPr>
      <w:r w:rsidRPr="00A26DF5">
        <w:rPr>
          <w:rStyle w:val="FootnoteReference"/>
          <w:rFonts w:ascii="Times New Roman" w:hAnsi="Times New Roman" w:cs="Times New Roman"/>
        </w:rPr>
        <w:footnoteRef/>
      </w:r>
      <w:r w:rsidRPr="00102124">
        <w:rPr>
          <w:rFonts w:ascii="Times New Roman" w:hAnsi="Times New Roman" w:cs="Times New Roman"/>
          <w:color w:val="auto"/>
        </w:rPr>
        <w:t>Conforme Gansweidt (1946), Luís Bugre</w:t>
      </w:r>
      <w:r w:rsidRPr="00A26DF5">
        <w:rPr>
          <w:rFonts w:ascii="Times New Roman" w:hAnsi="Times New Roman" w:cs="Times New Roman"/>
        </w:rPr>
        <w:t xml:space="preserve"> teria sido capturado na propriedade de Jacó Bohn em Feliz, com entorno de onze anos de idade. Na oportunidade, indígenas teriam se aproximado da plantação </w:t>
      </w:r>
      <w:r>
        <w:rPr>
          <w:rFonts w:ascii="Times New Roman" w:hAnsi="Times New Roman" w:cs="Times New Roman"/>
        </w:rPr>
        <w:t xml:space="preserve">de milhos </w:t>
      </w:r>
      <w:r w:rsidRPr="00A26DF5">
        <w:rPr>
          <w:rFonts w:ascii="Times New Roman" w:hAnsi="Times New Roman" w:cs="Times New Roman"/>
        </w:rPr>
        <w:t>do referido colono, que ao</w:t>
      </w:r>
      <w:r>
        <w:rPr>
          <w:rFonts w:ascii="Times New Roman" w:hAnsi="Times New Roman" w:cs="Times New Roman"/>
        </w:rPr>
        <w:t xml:space="preserve"> o</w:t>
      </w:r>
      <w:r w:rsidRPr="00A26DF5">
        <w:rPr>
          <w:rFonts w:ascii="Times New Roman" w:hAnsi="Times New Roman" w:cs="Times New Roman"/>
        </w:rPr>
        <w:t xml:space="preserve">s notar, chamou os demais vizinhos. No conflito, um jovem índio teria desarticulado o joelho e sido tomado como </w:t>
      </w:r>
      <w:r>
        <w:rPr>
          <w:rFonts w:ascii="Times New Roman" w:hAnsi="Times New Roman" w:cs="Times New Roman"/>
        </w:rPr>
        <w:t>escravo</w:t>
      </w:r>
      <w:r w:rsidRPr="00A26DF5">
        <w:rPr>
          <w:rFonts w:ascii="Times New Roman" w:hAnsi="Times New Roman" w:cs="Times New Roman"/>
        </w:rPr>
        <w:t xml:space="preserve"> de Ma</w:t>
      </w:r>
      <w:r>
        <w:rPr>
          <w:rFonts w:ascii="Times New Roman" w:hAnsi="Times New Roman" w:cs="Times New Roman"/>
        </w:rPr>
        <w:t>tias Rodrigues da Fonseca. Da mesma forma, teria aprendido a</w:t>
      </w:r>
      <w:r w:rsidRPr="00A26DF5">
        <w:rPr>
          <w:rFonts w:ascii="Times New Roman" w:hAnsi="Times New Roman" w:cs="Times New Roman"/>
        </w:rPr>
        <w:t xml:space="preserve"> falar alemão e sido batizado na fé Católica em São José do Hortêncio.</w:t>
      </w:r>
    </w:p>
  </w:footnote>
  <w:footnote w:id="27">
    <w:p w:rsidR="00C755CD" w:rsidRDefault="00C755CD" w:rsidP="00ED2447">
      <w:pPr>
        <w:pStyle w:val="FootnoteText"/>
        <w:jc w:val="both"/>
      </w:pPr>
      <w:r>
        <w:rPr>
          <w:rStyle w:val="FootnoteReference"/>
        </w:rPr>
        <w:footnoteRef/>
      </w:r>
      <w:r>
        <w:t xml:space="preserve"> </w:t>
      </w:r>
      <w:r>
        <w:rPr>
          <w:rFonts w:ascii="Times New Roman" w:hAnsi="Times New Roman" w:cs="Times New Roman"/>
        </w:rPr>
        <w:t>Segundo</w:t>
      </w:r>
      <w:r w:rsidRPr="00827B2C">
        <w:rPr>
          <w:rFonts w:ascii="Times New Roman" w:hAnsi="Times New Roman" w:cs="Times New Roman"/>
        </w:rPr>
        <w:t xml:space="preserve"> Becker (1995), a palavra bugre significa uma denominação genérica atribuída à um grupo de indígenas que habitava as matas do Rio Grande do Sul, sugerindo também o intuito de diferenciá-los do grupo Guarani.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4941"/>
    <w:multiLevelType w:val="hybridMultilevel"/>
    <w:tmpl w:val="32043B20"/>
    <w:lvl w:ilvl="0" w:tplc="C602CA40">
      <w:start w:val="1"/>
      <w:numFmt w:val="bullet"/>
      <w:lvlText w:val="•"/>
      <w:lvlJc w:val="left"/>
      <w:pPr>
        <w:tabs>
          <w:tab w:val="num" w:pos="720"/>
        </w:tabs>
        <w:ind w:left="720" w:hanging="360"/>
      </w:pPr>
      <w:rPr>
        <w:rFonts w:ascii="Arial" w:hAnsi="Arial" w:cs="Arial" w:hint="default"/>
      </w:rPr>
    </w:lvl>
    <w:lvl w:ilvl="1" w:tplc="7CF0693E" w:tentative="1">
      <w:start w:val="1"/>
      <w:numFmt w:val="bullet"/>
      <w:lvlText w:val="•"/>
      <w:lvlJc w:val="left"/>
      <w:pPr>
        <w:tabs>
          <w:tab w:val="num" w:pos="1440"/>
        </w:tabs>
        <w:ind w:left="1440" w:hanging="360"/>
      </w:pPr>
      <w:rPr>
        <w:rFonts w:ascii="Arial" w:hAnsi="Arial" w:cs="Arial" w:hint="default"/>
      </w:rPr>
    </w:lvl>
    <w:lvl w:ilvl="2" w:tplc="E2F69304" w:tentative="1">
      <w:start w:val="1"/>
      <w:numFmt w:val="bullet"/>
      <w:lvlText w:val="•"/>
      <w:lvlJc w:val="left"/>
      <w:pPr>
        <w:tabs>
          <w:tab w:val="num" w:pos="2160"/>
        </w:tabs>
        <w:ind w:left="2160" w:hanging="360"/>
      </w:pPr>
      <w:rPr>
        <w:rFonts w:ascii="Arial" w:hAnsi="Arial" w:cs="Arial" w:hint="default"/>
      </w:rPr>
    </w:lvl>
    <w:lvl w:ilvl="3" w:tplc="A30C6E0A" w:tentative="1">
      <w:start w:val="1"/>
      <w:numFmt w:val="bullet"/>
      <w:lvlText w:val="•"/>
      <w:lvlJc w:val="left"/>
      <w:pPr>
        <w:tabs>
          <w:tab w:val="num" w:pos="2880"/>
        </w:tabs>
        <w:ind w:left="2880" w:hanging="360"/>
      </w:pPr>
      <w:rPr>
        <w:rFonts w:ascii="Arial" w:hAnsi="Arial" w:cs="Arial" w:hint="default"/>
      </w:rPr>
    </w:lvl>
    <w:lvl w:ilvl="4" w:tplc="FAFC18DE" w:tentative="1">
      <w:start w:val="1"/>
      <w:numFmt w:val="bullet"/>
      <w:lvlText w:val="•"/>
      <w:lvlJc w:val="left"/>
      <w:pPr>
        <w:tabs>
          <w:tab w:val="num" w:pos="3600"/>
        </w:tabs>
        <w:ind w:left="3600" w:hanging="360"/>
      </w:pPr>
      <w:rPr>
        <w:rFonts w:ascii="Arial" w:hAnsi="Arial" w:cs="Arial" w:hint="default"/>
      </w:rPr>
    </w:lvl>
    <w:lvl w:ilvl="5" w:tplc="6306463C" w:tentative="1">
      <w:start w:val="1"/>
      <w:numFmt w:val="bullet"/>
      <w:lvlText w:val="•"/>
      <w:lvlJc w:val="left"/>
      <w:pPr>
        <w:tabs>
          <w:tab w:val="num" w:pos="4320"/>
        </w:tabs>
        <w:ind w:left="4320" w:hanging="360"/>
      </w:pPr>
      <w:rPr>
        <w:rFonts w:ascii="Arial" w:hAnsi="Arial" w:cs="Arial" w:hint="default"/>
      </w:rPr>
    </w:lvl>
    <w:lvl w:ilvl="6" w:tplc="CB702644" w:tentative="1">
      <w:start w:val="1"/>
      <w:numFmt w:val="bullet"/>
      <w:lvlText w:val="•"/>
      <w:lvlJc w:val="left"/>
      <w:pPr>
        <w:tabs>
          <w:tab w:val="num" w:pos="5040"/>
        </w:tabs>
        <w:ind w:left="5040" w:hanging="360"/>
      </w:pPr>
      <w:rPr>
        <w:rFonts w:ascii="Arial" w:hAnsi="Arial" w:cs="Arial" w:hint="default"/>
      </w:rPr>
    </w:lvl>
    <w:lvl w:ilvl="7" w:tplc="79808FD8" w:tentative="1">
      <w:start w:val="1"/>
      <w:numFmt w:val="bullet"/>
      <w:lvlText w:val="•"/>
      <w:lvlJc w:val="left"/>
      <w:pPr>
        <w:tabs>
          <w:tab w:val="num" w:pos="5760"/>
        </w:tabs>
        <w:ind w:left="5760" w:hanging="360"/>
      </w:pPr>
      <w:rPr>
        <w:rFonts w:ascii="Arial" w:hAnsi="Arial" w:cs="Arial" w:hint="default"/>
      </w:rPr>
    </w:lvl>
    <w:lvl w:ilvl="8" w:tplc="E4D66CB8" w:tentative="1">
      <w:start w:val="1"/>
      <w:numFmt w:val="bullet"/>
      <w:lvlText w:val="•"/>
      <w:lvlJc w:val="left"/>
      <w:pPr>
        <w:tabs>
          <w:tab w:val="num" w:pos="6480"/>
        </w:tabs>
        <w:ind w:left="6480" w:hanging="360"/>
      </w:pPr>
      <w:rPr>
        <w:rFonts w:ascii="Arial" w:hAnsi="Arial" w:cs="Arial" w:hint="default"/>
      </w:rPr>
    </w:lvl>
  </w:abstractNum>
  <w:abstractNum w:abstractNumId="1">
    <w:nsid w:val="019676F4"/>
    <w:multiLevelType w:val="hybridMultilevel"/>
    <w:tmpl w:val="724679EE"/>
    <w:lvl w:ilvl="0" w:tplc="2D0EF894">
      <w:start w:val="1"/>
      <w:numFmt w:val="bullet"/>
      <w:lvlText w:val="•"/>
      <w:lvlJc w:val="left"/>
      <w:pPr>
        <w:tabs>
          <w:tab w:val="num" w:pos="720"/>
        </w:tabs>
        <w:ind w:left="720" w:hanging="360"/>
      </w:pPr>
      <w:rPr>
        <w:rFonts w:ascii="Arial" w:hAnsi="Arial" w:cs="Arial" w:hint="default"/>
      </w:rPr>
    </w:lvl>
    <w:lvl w:ilvl="1" w:tplc="02B8B002" w:tentative="1">
      <w:start w:val="1"/>
      <w:numFmt w:val="bullet"/>
      <w:lvlText w:val="•"/>
      <w:lvlJc w:val="left"/>
      <w:pPr>
        <w:tabs>
          <w:tab w:val="num" w:pos="1440"/>
        </w:tabs>
        <w:ind w:left="1440" w:hanging="360"/>
      </w:pPr>
      <w:rPr>
        <w:rFonts w:ascii="Arial" w:hAnsi="Arial" w:cs="Arial" w:hint="default"/>
      </w:rPr>
    </w:lvl>
    <w:lvl w:ilvl="2" w:tplc="D80C0428" w:tentative="1">
      <w:start w:val="1"/>
      <w:numFmt w:val="bullet"/>
      <w:lvlText w:val="•"/>
      <w:lvlJc w:val="left"/>
      <w:pPr>
        <w:tabs>
          <w:tab w:val="num" w:pos="2160"/>
        </w:tabs>
        <w:ind w:left="2160" w:hanging="360"/>
      </w:pPr>
      <w:rPr>
        <w:rFonts w:ascii="Arial" w:hAnsi="Arial" w:cs="Arial" w:hint="default"/>
      </w:rPr>
    </w:lvl>
    <w:lvl w:ilvl="3" w:tplc="B73041F0" w:tentative="1">
      <w:start w:val="1"/>
      <w:numFmt w:val="bullet"/>
      <w:lvlText w:val="•"/>
      <w:lvlJc w:val="left"/>
      <w:pPr>
        <w:tabs>
          <w:tab w:val="num" w:pos="2880"/>
        </w:tabs>
        <w:ind w:left="2880" w:hanging="360"/>
      </w:pPr>
      <w:rPr>
        <w:rFonts w:ascii="Arial" w:hAnsi="Arial" w:cs="Arial" w:hint="default"/>
      </w:rPr>
    </w:lvl>
    <w:lvl w:ilvl="4" w:tplc="EBDA88B4" w:tentative="1">
      <w:start w:val="1"/>
      <w:numFmt w:val="bullet"/>
      <w:lvlText w:val="•"/>
      <w:lvlJc w:val="left"/>
      <w:pPr>
        <w:tabs>
          <w:tab w:val="num" w:pos="3600"/>
        </w:tabs>
        <w:ind w:left="3600" w:hanging="360"/>
      </w:pPr>
      <w:rPr>
        <w:rFonts w:ascii="Arial" w:hAnsi="Arial" w:cs="Arial" w:hint="default"/>
      </w:rPr>
    </w:lvl>
    <w:lvl w:ilvl="5" w:tplc="E2E87F2C" w:tentative="1">
      <w:start w:val="1"/>
      <w:numFmt w:val="bullet"/>
      <w:lvlText w:val="•"/>
      <w:lvlJc w:val="left"/>
      <w:pPr>
        <w:tabs>
          <w:tab w:val="num" w:pos="4320"/>
        </w:tabs>
        <w:ind w:left="4320" w:hanging="360"/>
      </w:pPr>
      <w:rPr>
        <w:rFonts w:ascii="Arial" w:hAnsi="Arial" w:cs="Arial" w:hint="default"/>
      </w:rPr>
    </w:lvl>
    <w:lvl w:ilvl="6" w:tplc="2514EE62" w:tentative="1">
      <w:start w:val="1"/>
      <w:numFmt w:val="bullet"/>
      <w:lvlText w:val="•"/>
      <w:lvlJc w:val="left"/>
      <w:pPr>
        <w:tabs>
          <w:tab w:val="num" w:pos="5040"/>
        </w:tabs>
        <w:ind w:left="5040" w:hanging="360"/>
      </w:pPr>
      <w:rPr>
        <w:rFonts w:ascii="Arial" w:hAnsi="Arial" w:cs="Arial" w:hint="default"/>
      </w:rPr>
    </w:lvl>
    <w:lvl w:ilvl="7" w:tplc="CE4E2A86" w:tentative="1">
      <w:start w:val="1"/>
      <w:numFmt w:val="bullet"/>
      <w:lvlText w:val="•"/>
      <w:lvlJc w:val="left"/>
      <w:pPr>
        <w:tabs>
          <w:tab w:val="num" w:pos="5760"/>
        </w:tabs>
        <w:ind w:left="5760" w:hanging="360"/>
      </w:pPr>
      <w:rPr>
        <w:rFonts w:ascii="Arial" w:hAnsi="Arial" w:cs="Arial" w:hint="default"/>
      </w:rPr>
    </w:lvl>
    <w:lvl w:ilvl="8" w:tplc="A0D4876C" w:tentative="1">
      <w:start w:val="1"/>
      <w:numFmt w:val="bullet"/>
      <w:lvlText w:val="•"/>
      <w:lvlJc w:val="left"/>
      <w:pPr>
        <w:tabs>
          <w:tab w:val="num" w:pos="6480"/>
        </w:tabs>
        <w:ind w:left="6480" w:hanging="360"/>
      </w:pPr>
      <w:rPr>
        <w:rFonts w:ascii="Arial" w:hAnsi="Arial" w:cs="Arial" w:hint="default"/>
      </w:rPr>
    </w:lvl>
  </w:abstractNum>
  <w:abstractNum w:abstractNumId="2">
    <w:nsid w:val="05943A97"/>
    <w:multiLevelType w:val="hybridMultilevel"/>
    <w:tmpl w:val="EBB2C556"/>
    <w:lvl w:ilvl="0" w:tplc="F536AA24">
      <w:start w:val="1"/>
      <w:numFmt w:val="bullet"/>
      <w:lvlText w:val="•"/>
      <w:lvlJc w:val="left"/>
      <w:pPr>
        <w:tabs>
          <w:tab w:val="num" w:pos="720"/>
        </w:tabs>
        <w:ind w:left="720" w:hanging="360"/>
      </w:pPr>
      <w:rPr>
        <w:rFonts w:ascii="Arial" w:hAnsi="Arial" w:cs="Arial" w:hint="default"/>
      </w:rPr>
    </w:lvl>
    <w:lvl w:ilvl="1" w:tplc="D764A4FE" w:tentative="1">
      <w:start w:val="1"/>
      <w:numFmt w:val="bullet"/>
      <w:lvlText w:val="•"/>
      <w:lvlJc w:val="left"/>
      <w:pPr>
        <w:tabs>
          <w:tab w:val="num" w:pos="1440"/>
        </w:tabs>
        <w:ind w:left="1440" w:hanging="360"/>
      </w:pPr>
      <w:rPr>
        <w:rFonts w:ascii="Arial" w:hAnsi="Arial" w:cs="Arial" w:hint="default"/>
      </w:rPr>
    </w:lvl>
    <w:lvl w:ilvl="2" w:tplc="1F4AC830" w:tentative="1">
      <w:start w:val="1"/>
      <w:numFmt w:val="bullet"/>
      <w:lvlText w:val="•"/>
      <w:lvlJc w:val="left"/>
      <w:pPr>
        <w:tabs>
          <w:tab w:val="num" w:pos="2160"/>
        </w:tabs>
        <w:ind w:left="2160" w:hanging="360"/>
      </w:pPr>
      <w:rPr>
        <w:rFonts w:ascii="Arial" w:hAnsi="Arial" w:cs="Arial" w:hint="default"/>
      </w:rPr>
    </w:lvl>
    <w:lvl w:ilvl="3" w:tplc="5046E7AE" w:tentative="1">
      <w:start w:val="1"/>
      <w:numFmt w:val="bullet"/>
      <w:lvlText w:val="•"/>
      <w:lvlJc w:val="left"/>
      <w:pPr>
        <w:tabs>
          <w:tab w:val="num" w:pos="2880"/>
        </w:tabs>
        <w:ind w:left="2880" w:hanging="360"/>
      </w:pPr>
      <w:rPr>
        <w:rFonts w:ascii="Arial" w:hAnsi="Arial" w:cs="Arial" w:hint="default"/>
      </w:rPr>
    </w:lvl>
    <w:lvl w:ilvl="4" w:tplc="A3BCD6D8" w:tentative="1">
      <w:start w:val="1"/>
      <w:numFmt w:val="bullet"/>
      <w:lvlText w:val="•"/>
      <w:lvlJc w:val="left"/>
      <w:pPr>
        <w:tabs>
          <w:tab w:val="num" w:pos="3600"/>
        </w:tabs>
        <w:ind w:left="3600" w:hanging="360"/>
      </w:pPr>
      <w:rPr>
        <w:rFonts w:ascii="Arial" w:hAnsi="Arial" w:cs="Arial" w:hint="default"/>
      </w:rPr>
    </w:lvl>
    <w:lvl w:ilvl="5" w:tplc="A5DA34F8" w:tentative="1">
      <w:start w:val="1"/>
      <w:numFmt w:val="bullet"/>
      <w:lvlText w:val="•"/>
      <w:lvlJc w:val="left"/>
      <w:pPr>
        <w:tabs>
          <w:tab w:val="num" w:pos="4320"/>
        </w:tabs>
        <w:ind w:left="4320" w:hanging="360"/>
      </w:pPr>
      <w:rPr>
        <w:rFonts w:ascii="Arial" w:hAnsi="Arial" w:cs="Arial" w:hint="default"/>
      </w:rPr>
    </w:lvl>
    <w:lvl w:ilvl="6" w:tplc="638C54F8" w:tentative="1">
      <w:start w:val="1"/>
      <w:numFmt w:val="bullet"/>
      <w:lvlText w:val="•"/>
      <w:lvlJc w:val="left"/>
      <w:pPr>
        <w:tabs>
          <w:tab w:val="num" w:pos="5040"/>
        </w:tabs>
        <w:ind w:left="5040" w:hanging="360"/>
      </w:pPr>
      <w:rPr>
        <w:rFonts w:ascii="Arial" w:hAnsi="Arial" w:cs="Arial" w:hint="default"/>
      </w:rPr>
    </w:lvl>
    <w:lvl w:ilvl="7" w:tplc="220A370E" w:tentative="1">
      <w:start w:val="1"/>
      <w:numFmt w:val="bullet"/>
      <w:lvlText w:val="•"/>
      <w:lvlJc w:val="left"/>
      <w:pPr>
        <w:tabs>
          <w:tab w:val="num" w:pos="5760"/>
        </w:tabs>
        <w:ind w:left="5760" w:hanging="360"/>
      </w:pPr>
      <w:rPr>
        <w:rFonts w:ascii="Arial" w:hAnsi="Arial" w:cs="Arial" w:hint="default"/>
      </w:rPr>
    </w:lvl>
    <w:lvl w:ilvl="8" w:tplc="A0707DC6" w:tentative="1">
      <w:start w:val="1"/>
      <w:numFmt w:val="bullet"/>
      <w:lvlText w:val="•"/>
      <w:lvlJc w:val="left"/>
      <w:pPr>
        <w:tabs>
          <w:tab w:val="num" w:pos="6480"/>
        </w:tabs>
        <w:ind w:left="6480" w:hanging="360"/>
      </w:pPr>
      <w:rPr>
        <w:rFonts w:ascii="Arial" w:hAnsi="Arial" w:cs="Arial" w:hint="default"/>
      </w:rPr>
    </w:lvl>
  </w:abstractNum>
  <w:abstractNum w:abstractNumId="3">
    <w:nsid w:val="05D279A3"/>
    <w:multiLevelType w:val="hybridMultilevel"/>
    <w:tmpl w:val="6142814E"/>
    <w:lvl w:ilvl="0" w:tplc="140C836E">
      <w:start w:val="1"/>
      <w:numFmt w:val="bullet"/>
      <w:lvlText w:val="•"/>
      <w:lvlJc w:val="left"/>
      <w:pPr>
        <w:tabs>
          <w:tab w:val="num" w:pos="720"/>
        </w:tabs>
        <w:ind w:left="720" w:hanging="360"/>
      </w:pPr>
      <w:rPr>
        <w:rFonts w:ascii="Arial" w:hAnsi="Arial" w:cs="Arial" w:hint="default"/>
      </w:rPr>
    </w:lvl>
    <w:lvl w:ilvl="1" w:tplc="995A8C02" w:tentative="1">
      <w:start w:val="1"/>
      <w:numFmt w:val="bullet"/>
      <w:lvlText w:val="•"/>
      <w:lvlJc w:val="left"/>
      <w:pPr>
        <w:tabs>
          <w:tab w:val="num" w:pos="1440"/>
        </w:tabs>
        <w:ind w:left="1440" w:hanging="360"/>
      </w:pPr>
      <w:rPr>
        <w:rFonts w:ascii="Arial" w:hAnsi="Arial" w:cs="Arial" w:hint="default"/>
      </w:rPr>
    </w:lvl>
    <w:lvl w:ilvl="2" w:tplc="CA3018C2" w:tentative="1">
      <w:start w:val="1"/>
      <w:numFmt w:val="bullet"/>
      <w:lvlText w:val="•"/>
      <w:lvlJc w:val="left"/>
      <w:pPr>
        <w:tabs>
          <w:tab w:val="num" w:pos="2160"/>
        </w:tabs>
        <w:ind w:left="2160" w:hanging="360"/>
      </w:pPr>
      <w:rPr>
        <w:rFonts w:ascii="Arial" w:hAnsi="Arial" w:cs="Arial" w:hint="default"/>
      </w:rPr>
    </w:lvl>
    <w:lvl w:ilvl="3" w:tplc="19C046DC" w:tentative="1">
      <w:start w:val="1"/>
      <w:numFmt w:val="bullet"/>
      <w:lvlText w:val="•"/>
      <w:lvlJc w:val="left"/>
      <w:pPr>
        <w:tabs>
          <w:tab w:val="num" w:pos="2880"/>
        </w:tabs>
        <w:ind w:left="2880" w:hanging="360"/>
      </w:pPr>
      <w:rPr>
        <w:rFonts w:ascii="Arial" w:hAnsi="Arial" w:cs="Arial" w:hint="default"/>
      </w:rPr>
    </w:lvl>
    <w:lvl w:ilvl="4" w:tplc="F1A04D90" w:tentative="1">
      <w:start w:val="1"/>
      <w:numFmt w:val="bullet"/>
      <w:lvlText w:val="•"/>
      <w:lvlJc w:val="left"/>
      <w:pPr>
        <w:tabs>
          <w:tab w:val="num" w:pos="3600"/>
        </w:tabs>
        <w:ind w:left="3600" w:hanging="360"/>
      </w:pPr>
      <w:rPr>
        <w:rFonts w:ascii="Arial" w:hAnsi="Arial" w:cs="Arial" w:hint="default"/>
      </w:rPr>
    </w:lvl>
    <w:lvl w:ilvl="5" w:tplc="24180368" w:tentative="1">
      <w:start w:val="1"/>
      <w:numFmt w:val="bullet"/>
      <w:lvlText w:val="•"/>
      <w:lvlJc w:val="left"/>
      <w:pPr>
        <w:tabs>
          <w:tab w:val="num" w:pos="4320"/>
        </w:tabs>
        <w:ind w:left="4320" w:hanging="360"/>
      </w:pPr>
      <w:rPr>
        <w:rFonts w:ascii="Arial" w:hAnsi="Arial" w:cs="Arial" w:hint="default"/>
      </w:rPr>
    </w:lvl>
    <w:lvl w:ilvl="6" w:tplc="2AD22966" w:tentative="1">
      <w:start w:val="1"/>
      <w:numFmt w:val="bullet"/>
      <w:lvlText w:val="•"/>
      <w:lvlJc w:val="left"/>
      <w:pPr>
        <w:tabs>
          <w:tab w:val="num" w:pos="5040"/>
        </w:tabs>
        <w:ind w:left="5040" w:hanging="360"/>
      </w:pPr>
      <w:rPr>
        <w:rFonts w:ascii="Arial" w:hAnsi="Arial" w:cs="Arial" w:hint="default"/>
      </w:rPr>
    </w:lvl>
    <w:lvl w:ilvl="7" w:tplc="80328958" w:tentative="1">
      <w:start w:val="1"/>
      <w:numFmt w:val="bullet"/>
      <w:lvlText w:val="•"/>
      <w:lvlJc w:val="left"/>
      <w:pPr>
        <w:tabs>
          <w:tab w:val="num" w:pos="5760"/>
        </w:tabs>
        <w:ind w:left="5760" w:hanging="360"/>
      </w:pPr>
      <w:rPr>
        <w:rFonts w:ascii="Arial" w:hAnsi="Arial" w:cs="Arial" w:hint="default"/>
      </w:rPr>
    </w:lvl>
    <w:lvl w:ilvl="8" w:tplc="9C5ACFFC" w:tentative="1">
      <w:start w:val="1"/>
      <w:numFmt w:val="bullet"/>
      <w:lvlText w:val="•"/>
      <w:lvlJc w:val="left"/>
      <w:pPr>
        <w:tabs>
          <w:tab w:val="num" w:pos="6480"/>
        </w:tabs>
        <w:ind w:left="6480" w:hanging="360"/>
      </w:pPr>
      <w:rPr>
        <w:rFonts w:ascii="Arial" w:hAnsi="Arial" w:cs="Arial" w:hint="default"/>
      </w:rPr>
    </w:lvl>
  </w:abstractNum>
  <w:abstractNum w:abstractNumId="4">
    <w:nsid w:val="06F336F1"/>
    <w:multiLevelType w:val="hybridMultilevel"/>
    <w:tmpl w:val="E1E824D0"/>
    <w:lvl w:ilvl="0" w:tplc="C4385130">
      <w:start w:val="1"/>
      <w:numFmt w:val="bullet"/>
      <w:lvlText w:val="•"/>
      <w:lvlJc w:val="left"/>
      <w:pPr>
        <w:tabs>
          <w:tab w:val="num" w:pos="720"/>
        </w:tabs>
        <w:ind w:left="720" w:hanging="360"/>
      </w:pPr>
      <w:rPr>
        <w:rFonts w:ascii="Arial" w:hAnsi="Arial" w:cs="Arial" w:hint="default"/>
      </w:rPr>
    </w:lvl>
    <w:lvl w:ilvl="1" w:tplc="110E96A4" w:tentative="1">
      <w:start w:val="1"/>
      <w:numFmt w:val="bullet"/>
      <w:lvlText w:val="•"/>
      <w:lvlJc w:val="left"/>
      <w:pPr>
        <w:tabs>
          <w:tab w:val="num" w:pos="1440"/>
        </w:tabs>
        <w:ind w:left="1440" w:hanging="360"/>
      </w:pPr>
      <w:rPr>
        <w:rFonts w:ascii="Arial" w:hAnsi="Arial" w:cs="Arial" w:hint="default"/>
      </w:rPr>
    </w:lvl>
    <w:lvl w:ilvl="2" w:tplc="A45A7B30" w:tentative="1">
      <w:start w:val="1"/>
      <w:numFmt w:val="bullet"/>
      <w:lvlText w:val="•"/>
      <w:lvlJc w:val="left"/>
      <w:pPr>
        <w:tabs>
          <w:tab w:val="num" w:pos="2160"/>
        </w:tabs>
        <w:ind w:left="2160" w:hanging="360"/>
      </w:pPr>
      <w:rPr>
        <w:rFonts w:ascii="Arial" w:hAnsi="Arial" w:cs="Arial" w:hint="default"/>
      </w:rPr>
    </w:lvl>
    <w:lvl w:ilvl="3" w:tplc="70E46B82" w:tentative="1">
      <w:start w:val="1"/>
      <w:numFmt w:val="bullet"/>
      <w:lvlText w:val="•"/>
      <w:lvlJc w:val="left"/>
      <w:pPr>
        <w:tabs>
          <w:tab w:val="num" w:pos="2880"/>
        </w:tabs>
        <w:ind w:left="2880" w:hanging="360"/>
      </w:pPr>
      <w:rPr>
        <w:rFonts w:ascii="Arial" w:hAnsi="Arial" w:cs="Arial" w:hint="default"/>
      </w:rPr>
    </w:lvl>
    <w:lvl w:ilvl="4" w:tplc="C53633C2" w:tentative="1">
      <w:start w:val="1"/>
      <w:numFmt w:val="bullet"/>
      <w:lvlText w:val="•"/>
      <w:lvlJc w:val="left"/>
      <w:pPr>
        <w:tabs>
          <w:tab w:val="num" w:pos="3600"/>
        </w:tabs>
        <w:ind w:left="3600" w:hanging="360"/>
      </w:pPr>
      <w:rPr>
        <w:rFonts w:ascii="Arial" w:hAnsi="Arial" w:cs="Arial" w:hint="default"/>
      </w:rPr>
    </w:lvl>
    <w:lvl w:ilvl="5" w:tplc="F12476B8" w:tentative="1">
      <w:start w:val="1"/>
      <w:numFmt w:val="bullet"/>
      <w:lvlText w:val="•"/>
      <w:lvlJc w:val="left"/>
      <w:pPr>
        <w:tabs>
          <w:tab w:val="num" w:pos="4320"/>
        </w:tabs>
        <w:ind w:left="4320" w:hanging="360"/>
      </w:pPr>
      <w:rPr>
        <w:rFonts w:ascii="Arial" w:hAnsi="Arial" w:cs="Arial" w:hint="default"/>
      </w:rPr>
    </w:lvl>
    <w:lvl w:ilvl="6" w:tplc="DE30725A" w:tentative="1">
      <w:start w:val="1"/>
      <w:numFmt w:val="bullet"/>
      <w:lvlText w:val="•"/>
      <w:lvlJc w:val="left"/>
      <w:pPr>
        <w:tabs>
          <w:tab w:val="num" w:pos="5040"/>
        </w:tabs>
        <w:ind w:left="5040" w:hanging="360"/>
      </w:pPr>
      <w:rPr>
        <w:rFonts w:ascii="Arial" w:hAnsi="Arial" w:cs="Arial" w:hint="default"/>
      </w:rPr>
    </w:lvl>
    <w:lvl w:ilvl="7" w:tplc="82FC8F66" w:tentative="1">
      <w:start w:val="1"/>
      <w:numFmt w:val="bullet"/>
      <w:lvlText w:val="•"/>
      <w:lvlJc w:val="left"/>
      <w:pPr>
        <w:tabs>
          <w:tab w:val="num" w:pos="5760"/>
        </w:tabs>
        <w:ind w:left="5760" w:hanging="360"/>
      </w:pPr>
      <w:rPr>
        <w:rFonts w:ascii="Arial" w:hAnsi="Arial" w:cs="Arial" w:hint="default"/>
      </w:rPr>
    </w:lvl>
    <w:lvl w:ilvl="8" w:tplc="E788F638" w:tentative="1">
      <w:start w:val="1"/>
      <w:numFmt w:val="bullet"/>
      <w:lvlText w:val="•"/>
      <w:lvlJc w:val="left"/>
      <w:pPr>
        <w:tabs>
          <w:tab w:val="num" w:pos="6480"/>
        </w:tabs>
        <w:ind w:left="6480" w:hanging="360"/>
      </w:pPr>
      <w:rPr>
        <w:rFonts w:ascii="Arial" w:hAnsi="Arial" w:cs="Arial" w:hint="default"/>
      </w:rPr>
    </w:lvl>
  </w:abstractNum>
  <w:abstractNum w:abstractNumId="5">
    <w:nsid w:val="13945A08"/>
    <w:multiLevelType w:val="hybridMultilevel"/>
    <w:tmpl w:val="36B8A434"/>
    <w:lvl w:ilvl="0" w:tplc="F514C9D0">
      <w:start w:val="1"/>
      <w:numFmt w:val="bullet"/>
      <w:lvlText w:val="•"/>
      <w:lvlJc w:val="left"/>
      <w:pPr>
        <w:tabs>
          <w:tab w:val="num" w:pos="720"/>
        </w:tabs>
        <w:ind w:left="720" w:hanging="360"/>
      </w:pPr>
      <w:rPr>
        <w:rFonts w:ascii="Arial" w:hAnsi="Arial" w:cs="Arial" w:hint="default"/>
      </w:rPr>
    </w:lvl>
    <w:lvl w:ilvl="1" w:tplc="AC0E1F00" w:tentative="1">
      <w:start w:val="1"/>
      <w:numFmt w:val="bullet"/>
      <w:lvlText w:val="•"/>
      <w:lvlJc w:val="left"/>
      <w:pPr>
        <w:tabs>
          <w:tab w:val="num" w:pos="1440"/>
        </w:tabs>
        <w:ind w:left="1440" w:hanging="360"/>
      </w:pPr>
      <w:rPr>
        <w:rFonts w:ascii="Arial" w:hAnsi="Arial" w:cs="Arial" w:hint="default"/>
      </w:rPr>
    </w:lvl>
    <w:lvl w:ilvl="2" w:tplc="ADCE2D30" w:tentative="1">
      <w:start w:val="1"/>
      <w:numFmt w:val="bullet"/>
      <w:lvlText w:val="•"/>
      <w:lvlJc w:val="left"/>
      <w:pPr>
        <w:tabs>
          <w:tab w:val="num" w:pos="2160"/>
        </w:tabs>
        <w:ind w:left="2160" w:hanging="360"/>
      </w:pPr>
      <w:rPr>
        <w:rFonts w:ascii="Arial" w:hAnsi="Arial" w:cs="Arial" w:hint="default"/>
      </w:rPr>
    </w:lvl>
    <w:lvl w:ilvl="3" w:tplc="F086EDDE" w:tentative="1">
      <w:start w:val="1"/>
      <w:numFmt w:val="bullet"/>
      <w:lvlText w:val="•"/>
      <w:lvlJc w:val="left"/>
      <w:pPr>
        <w:tabs>
          <w:tab w:val="num" w:pos="2880"/>
        </w:tabs>
        <w:ind w:left="2880" w:hanging="360"/>
      </w:pPr>
      <w:rPr>
        <w:rFonts w:ascii="Arial" w:hAnsi="Arial" w:cs="Arial" w:hint="default"/>
      </w:rPr>
    </w:lvl>
    <w:lvl w:ilvl="4" w:tplc="16FC163C" w:tentative="1">
      <w:start w:val="1"/>
      <w:numFmt w:val="bullet"/>
      <w:lvlText w:val="•"/>
      <w:lvlJc w:val="left"/>
      <w:pPr>
        <w:tabs>
          <w:tab w:val="num" w:pos="3600"/>
        </w:tabs>
        <w:ind w:left="3600" w:hanging="360"/>
      </w:pPr>
      <w:rPr>
        <w:rFonts w:ascii="Arial" w:hAnsi="Arial" w:cs="Arial" w:hint="default"/>
      </w:rPr>
    </w:lvl>
    <w:lvl w:ilvl="5" w:tplc="3DD80FD8" w:tentative="1">
      <w:start w:val="1"/>
      <w:numFmt w:val="bullet"/>
      <w:lvlText w:val="•"/>
      <w:lvlJc w:val="left"/>
      <w:pPr>
        <w:tabs>
          <w:tab w:val="num" w:pos="4320"/>
        </w:tabs>
        <w:ind w:left="4320" w:hanging="360"/>
      </w:pPr>
      <w:rPr>
        <w:rFonts w:ascii="Arial" w:hAnsi="Arial" w:cs="Arial" w:hint="default"/>
      </w:rPr>
    </w:lvl>
    <w:lvl w:ilvl="6" w:tplc="21AC120E" w:tentative="1">
      <w:start w:val="1"/>
      <w:numFmt w:val="bullet"/>
      <w:lvlText w:val="•"/>
      <w:lvlJc w:val="left"/>
      <w:pPr>
        <w:tabs>
          <w:tab w:val="num" w:pos="5040"/>
        </w:tabs>
        <w:ind w:left="5040" w:hanging="360"/>
      </w:pPr>
      <w:rPr>
        <w:rFonts w:ascii="Arial" w:hAnsi="Arial" w:cs="Arial" w:hint="default"/>
      </w:rPr>
    </w:lvl>
    <w:lvl w:ilvl="7" w:tplc="1D3CF790" w:tentative="1">
      <w:start w:val="1"/>
      <w:numFmt w:val="bullet"/>
      <w:lvlText w:val="•"/>
      <w:lvlJc w:val="left"/>
      <w:pPr>
        <w:tabs>
          <w:tab w:val="num" w:pos="5760"/>
        </w:tabs>
        <w:ind w:left="5760" w:hanging="360"/>
      </w:pPr>
      <w:rPr>
        <w:rFonts w:ascii="Arial" w:hAnsi="Arial" w:cs="Arial" w:hint="default"/>
      </w:rPr>
    </w:lvl>
    <w:lvl w:ilvl="8" w:tplc="D20A7D90" w:tentative="1">
      <w:start w:val="1"/>
      <w:numFmt w:val="bullet"/>
      <w:lvlText w:val="•"/>
      <w:lvlJc w:val="left"/>
      <w:pPr>
        <w:tabs>
          <w:tab w:val="num" w:pos="6480"/>
        </w:tabs>
        <w:ind w:left="6480" w:hanging="360"/>
      </w:pPr>
      <w:rPr>
        <w:rFonts w:ascii="Arial" w:hAnsi="Arial" w:cs="Arial" w:hint="default"/>
      </w:rPr>
    </w:lvl>
  </w:abstractNum>
  <w:abstractNum w:abstractNumId="6">
    <w:nsid w:val="198F2C82"/>
    <w:multiLevelType w:val="hybridMultilevel"/>
    <w:tmpl w:val="40A44D86"/>
    <w:lvl w:ilvl="0" w:tplc="9124AE26">
      <w:start w:val="1"/>
      <w:numFmt w:val="bullet"/>
      <w:lvlText w:val="•"/>
      <w:lvlJc w:val="left"/>
      <w:pPr>
        <w:tabs>
          <w:tab w:val="num" w:pos="720"/>
        </w:tabs>
        <w:ind w:left="720" w:hanging="360"/>
      </w:pPr>
      <w:rPr>
        <w:rFonts w:ascii="Arial" w:hAnsi="Arial" w:cs="Arial" w:hint="default"/>
      </w:rPr>
    </w:lvl>
    <w:lvl w:ilvl="1" w:tplc="753CEB2A" w:tentative="1">
      <w:start w:val="1"/>
      <w:numFmt w:val="bullet"/>
      <w:lvlText w:val="•"/>
      <w:lvlJc w:val="left"/>
      <w:pPr>
        <w:tabs>
          <w:tab w:val="num" w:pos="1440"/>
        </w:tabs>
        <w:ind w:left="1440" w:hanging="360"/>
      </w:pPr>
      <w:rPr>
        <w:rFonts w:ascii="Arial" w:hAnsi="Arial" w:cs="Arial" w:hint="default"/>
      </w:rPr>
    </w:lvl>
    <w:lvl w:ilvl="2" w:tplc="5A722BC6" w:tentative="1">
      <w:start w:val="1"/>
      <w:numFmt w:val="bullet"/>
      <w:lvlText w:val="•"/>
      <w:lvlJc w:val="left"/>
      <w:pPr>
        <w:tabs>
          <w:tab w:val="num" w:pos="2160"/>
        </w:tabs>
        <w:ind w:left="2160" w:hanging="360"/>
      </w:pPr>
      <w:rPr>
        <w:rFonts w:ascii="Arial" w:hAnsi="Arial" w:cs="Arial" w:hint="default"/>
      </w:rPr>
    </w:lvl>
    <w:lvl w:ilvl="3" w:tplc="ACAE1300" w:tentative="1">
      <w:start w:val="1"/>
      <w:numFmt w:val="bullet"/>
      <w:lvlText w:val="•"/>
      <w:lvlJc w:val="left"/>
      <w:pPr>
        <w:tabs>
          <w:tab w:val="num" w:pos="2880"/>
        </w:tabs>
        <w:ind w:left="2880" w:hanging="360"/>
      </w:pPr>
      <w:rPr>
        <w:rFonts w:ascii="Arial" w:hAnsi="Arial" w:cs="Arial" w:hint="default"/>
      </w:rPr>
    </w:lvl>
    <w:lvl w:ilvl="4" w:tplc="384AC7CA" w:tentative="1">
      <w:start w:val="1"/>
      <w:numFmt w:val="bullet"/>
      <w:lvlText w:val="•"/>
      <w:lvlJc w:val="left"/>
      <w:pPr>
        <w:tabs>
          <w:tab w:val="num" w:pos="3600"/>
        </w:tabs>
        <w:ind w:left="3600" w:hanging="360"/>
      </w:pPr>
      <w:rPr>
        <w:rFonts w:ascii="Arial" w:hAnsi="Arial" w:cs="Arial" w:hint="default"/>
      </w:rPr>
    </w:lvl>
    <w:lvl w:ilvl="5" w:tplc="4C0E287A" w:tentative="1">
      <w:start w:val="1"/>
      <w:numFmt w:val="bullet"/>
      <w:lvlText w:val="•"/>
      <w:lvlJc w:val="left"/>
      <w:pPr>
        <w:tabs>
          <w:tab w:val="num" w:pos="4320"/>
        </w:tabs>
        <w:ind w:left="4320" w:hanging="360"/>
      </w:pPr>
      <w:rPr>
        <w:rFonts w:ascii="Arial" w:hAnsi="Arial" w:cs="Arial" w:hint="default"/>
      </w:rPr>
    </w:lvl>
    <w:lvl w:ilvl="6" w:tplc="54744FF6" w:tentative="1">
      <w:start w:val="1"/>
      <w:numFmt w:val="bullet"/>
      <w:lvlText w:val="•"/>
      <w:lvlJc w:val="left"/>
      <w:pPr>
        <w:tabs>
          <w:tab w:val="num" w:pos="5040"/>
        </w:tabs>
        <w:ind w:left="5040" w:hanging="360"/>
      </w:pPr>
      <w:rPr>
        <w:rFonts w:ascii="Arial" w:hAnsi="Arial" w:cs="Arial" w:hint="default"/>
      </w:rPr>
    </w:lvl>
    <w:lvl w:ilvl="7" w:tplc="199011A2" w:tentative="1">
      <w:start w:val="1"/>
      <w:numFmt w:val="bullet"/>
      <w:lvlText w:val="•"/>
      <w:lvlJc w:val="left"/>
      <w:pPr>
        <w:tabs>
          <w:tab w:val="num" w:pos="5760"/>
        </w:tabs>
        <w:ind w:left="5760" w:hanging="360"/>
      </w:pPr>
      <w:rPr>
        <w:rFonts w:ascii="Arial" w:hAnsi="Arial" w:cs="Arial" w:hint="default"/>
      </w:rPr>
    </w:lvl>
    <w:lvl w:ilvl="8" w:tplc="CA5229C2" w:tentative="1">
      <w:start w:val="1"/>
      <w:numFmt w:val="bullet"/>
      <w:lvlText w:val="•"/>
      <w:lvlJc w:val="left"/>
      <w:pPr>
        <w:tabs>
          <w:tab w:val="num" w:pos="6480"/>
        </w:tabs>
        <w:ind w:left="6480" w:hanging="360"/>
      </w:pPr>
      <w:rPr>
        <w:rFonts w:ascii="Arial" w:hAnsi="Arial" w:cs="Arial" w:hint="default"/>
      </w:rPr>
    </w:lvl>
  </w:abstractNum>
  <w:abstractNum w:abstractNumId="7">
    <w:nsid w:val="19FC1CA2"/>
    <w:multiLevelType w:val="hybridMultilevel"/>
    <w:tmpl w:val="3300DAA6"/>
    <w:lvl w:ilvl="0" w:tplc="B9069D3C">
      <w:start w:val="1"/>
      <w:numFmt w:val="bullet"/>
      <w:lvlText w:val="•"/>
      <w:lvlJc w:val="left"/>
      <w:pPr>
        <w:tabs>
          <w:tab w:val="num" w:pos="720"/>
        </w:tabs>
        <w:ind w:left="720" w:hanging="360"/>
      </w:pPr>
      <w:rPr>
        <w:rFonts w:ascii="Arial" w:hAnsi="Arial" w:cs="Arial" w:hint="default"/>
      </w:rPr>
    </w:lvl>
    <w:lvl w:ilvl="1" w:tplc="AAC01EE8" w:tentative="1">
      <w:start w:val="1"/>
      <w:numFmt w:val="bullet"/>
      <w:lvlText w:val="•"/>
      <w:lvlJc w:val="left"/>
      <w:pPr>
        <w:tabs>
          <w:tab w:val="num" w:pos="1440"/>
        </w:tabs>
        <w:ind w:left="1440" w:hanging="360"/>
      </w:pPr>
      <w:rPr>
        <w:rFonts w:ascii="Arial" w:hAnsi="Arial" w:cs="Arial" w:hint="default"/>
      </w:rPr>
    </w:lvl>
    <w:lvl w:ilvl="2" w:tplc="3392D3F6" w:tentative="1">
      <w:start w:val="1"/>
      <w:numFmt w:val="bullet"/>
      <w:lvlText w:val="•"/>
      <w:lvlJc w:val="left"/>
      <w:pPr>
        <w:tabs>
          <w:tab w:val="num" w:pos="2160"/>
        </w:tabs>
        <w:ind w:left="2160" w:hanging="360"/>
      </w:pPr>
      <w:rPr>
        <w:rFonts w:ascii="Arial" w:hAnsi="Arial" w:cs="Arial" w:hint="default"/>
      </w:rPr>
    </w:lvl>
    <w:lvl w:ilvl="3" w:tplc="376E06D2" w:tentative="1">
      <w:start w:val="1"/>
      <w:numFmt w:val="bullet"/>
      <w:lvlText w:val="•"/>
      <w:lvlJc w:val="left"/>
      <w:pPr>
        <w:tabs>
          <w:tab w:val="num" w:pos="2880"/>
        </w:tabs>
        <w:ind w:left="2880" w:hanging="360"/>
      </w:pPr>
      <w:rPr>
        <w:rFonts w:ascii="Arial" w:hAnsi="Arial" w:cs="Arial" w:hint="default"/>
      </w:rPr>
    </w:lvl>
    <w:lvl w:ilvl="4" w:tplc="1010B7E0" w:tentative="1">
      <w:start w:val="1"/>
      <w:numFmt w:val="bullet"/>
      <w:lvlText w:val="•"/>
      <w:lvlJc w:val="left"/>
      <w:pPr>
        <w:tabs>
          <w:tab w:val="num" w:pos="3600"/>
        </w:tabs>
        <w:ind w:left="3600" w:hanging="360"/>
      </w:pPr>
      <w:rPr>
        <w:rFonts w:ascii="Arial" w:hAnsi="Arial" w:cs="Arial" w:hint="default"/>
      </w:rPr>
    </w:lvl>
    <w:lvl w:ilvl="5" w:tplc="A5E6DA04" w:tentative="1">
      <w:start w:val="1"/>
      <w:numFmt w:val="bullet"/>
      <w:lvlText w:val="•"/>
      <w:lvlJc w:val="left"/>
      <w:pPr>
        <w:tabs>
          <w:tab w:val="num" w:pos="4320"/>
        </w:tabs>
        <w:ind w:left="4320" w:hanging="360"/>
      </w:pPr>
      <w:rPr>
        <w:rFonts w:ascii="Arial" w:hAnsi="Arial" w:cs="Arial" w:hint="default"/>
      </w:rPr>
    </w:lvl>
    <w:lvl w:ilvl="6" w:tplc="58B69DA0" w:tentative="1">
      <w:start w:val="1"/>
      <w:numFmt w:val="bullet"/>
      <w:lvlText w:val="•"/>
      <w:lvlJc w:val="left"/>
      <w:pPr>
        <w:tabs>
          <w:tab w:val="num" w:pos="5040"/>
        </w:tabs>
        <w:ind w:left="5040" w:hanging="360"/>
      </w:pPr>
      <w:rPr>
        <w:rFonts w:ascii="Arial" w:hAnsi="Arial" w:cs="Arial" w:hint="default"/>
      </w:rPr>
    </w:lvl>
    <w:lvl w:ilvl="7" w:tplc="8DDA884C" w:tentative="1">
      <w:start w:val="1"/>
      <w:numFmt w:val="bullet"/>
      <w:lvlText w:val="•"/>
      <w:lvlJc w:val="left"/>
      <w:pPr>
        <w:tabs>
          <w:tab w:val="num" w:pos="5760"/>
        </w:tabs>
        <w:ind w:left="5760" w:hanging="360"/>
      </w:pPr>
      <w:rPr>
        <w:rFonts w:ascii="Arial" w:hAnsi="Arial" w:cs="Arial" w:hint="default"/>
      </w:rPr>
    </w:lvl>
    <w:lvl w:ilvl="8" w:tplc="641020BA" w:tentative="1">
      <w:start w:val="1"/>
      <w:numFmt w:val="bullet"/>
      <w:lvlText w:val="•"/>
      <w:lvlJc w:val="left"/>
      <w:pPr>
        <w:tabs>
          <w:tab w:val="num" w:pos="6480"/>
        </w:tabs>
        <w:ind w:left="6480" w:hanging="360"/>
      </w:pPr>
      <w:rPr>
        <w:rFonts w:ascii="Arial" w:hAnsi="Arial" w:cs="Arial" w:hint="default"/>
      </w:rPr>
    </w:lvl>
  </w:abstractNum>
  <w:abstractNum w:abstractNumId="8">
    <w:nsid w:val="1CE07457"/>
    <w:multiLevelType w:val="hybridMultilevel"/>
    <w:tmpl w:val="FAC03984"/>
    <w:lvl w:ilvl="0" w:tplc="D26066B2">
      <w:start w:val="1"/>
      <w:numFmt w:val="bullet"/>
      <w:lvlText w:val="•"/>
      <w:lvlJc w:val="left"/>
      <w:pPr>
        <w:tabs>
          <w:tab w:val="num" w:pos="720"/>
        </w:tabs>
        <w:ind w:left="720" w:hanging="360"/>
      </w:pPr>
      <w:rPr>
        <w:rFonts w:ascii="Arial" w:hAnsi="Arial" w:cs="Arial" w:hint="default"/>
      </w:rPr>
    </w:lvl>
    <w:lvl w:ilvl="1" w:tplc="5AFA9DA2" w:tentative="1">
      <w:start w:val="1"/>
      <w:numFmt w:val="bullet"/>
      <w:lvlText w:val="•"/>
      <w:lvlJc w:val="left"/>
      <w:pPr>
        <w:tabs>
          <w:tab w:val="num" w:pos="1440"/>
        </w:tabs>
        <w:ind w:left="1440" w:hanging="360"/>
      </w:pPr>
      <w:rPr>
        <w:rFonts w:ascii="Arial" w:hAnsi="Arial" w:cs="Arial" w:hint="default"/>
      </w:rPr>
    </w:lvl>
    <w:lvl w:ilvl="2" w:tplc="E95AC610" w:tentative="1">
      <w:start w:val="1"/>
      <w:numFmt w:val="bullet"/>
      <w:lvlText w:val="•"/>
      <w:lvlJc w:val="left"/>
      <w:pPr>
        <w:tabs>
          <w:tab w:val="num" w:pos="2160"/>
        </w:tabs>
        <w:ind w:left="2160" w:hanging="360"/>
      </w:pPr>
      <w:rPr>
        <w:rFonts w:ascii="Arial" w:hAnsi="Arial" w:cs="Arial" w:hint="default"/>
      </w:rPr>
    </w:lvl>
    <w:lvl w:ilvl="3" w:tplc="D9FE8D90" w:tentative="1">
      <w:start w:val="1"/>
      <w:numFmt w:val="bullet"/>
      <w:lvlText w:val="•"/>
      <w:lvlJc w:val="left"/>
      <w:pPr>
        <w:tabs>
          <w:tab w:val="num" w:pos="2880"/>
        </w:tabs>
        <w:ind w:left="2880" w:hanging="360"/>
      </w:pPr>
      <w:rPr>
        <w:rFonts w:ascii="Arial" w:hAnsi="Arial" w:cs="Arial" w:hint="default"/>
      </w:rPr>
    </w:lvl>
    <w:lvl w:ilvl="4" w:tplc="57328570" w:tentative="1">
      <w:start w:val="1"/>
      <w:numFmt w:val="bullet"/>
      <w:lvlText w:val="•"/>
      <w:lvlJc w:val="left"/>
      <w:pPr>
        <w:tabs>
          <w:tab w:val="num" w:pos="3600"/>
        </w:tabs>
        <w:ind w:left="3600" w:hanging="360"/>
      </w:pPr>
      <w:rPr>
        <w:rFonts w:ascii="Arial" w:hAnsi="Arial" w:cs="Arial" w:hint="default"/>
      </w:rPr>
    </w:lvl>
    <w:lvl w:ilvl="5" w:tplc="8EBAE6C6" w:tentative="1">
      <w:start w:val="1"/>
      <w:numFmt w:val="bullet"/>
      <w:lvlText w:val="•"/>
      <w:lvlJc w:val="left"/>
      <w:pPr>
        <w:tabs>
          <w:tab w:val="num" w:pos="4320"/>
        </w:tabs>
        <w:ind w:left="4320" w:hanging="360"/>
      </w:pPr>
      <w:rPr>
        <w:rFonts w:ascii="Arial" w:hAnsi="Arial" w:cs="Arial" w:hint="default"/>
      </w:rPr>
    </w:lvl>
    <w:lvl w:ilvl="6" w:tplc="DC94BA9C" w:tentative="1">
      <w:start w:val="1"/>
      <w:numFmt w:val="bullet"/>
      <w:lvlText w:val="•"/>
      <w:lvlJc w:val="left"/>
      <w:pPr>
        <w:tabs>
          <w:tab w:val="num" w:pos="5040"/>
        </w:tabs>
        <w:ind w:left="5040" w:hanging="360"/>
      </w:pPr>
      <w:rPr>
        <w:rFonts w:ascii="Arial" w:hAnsi="Arial" w:cs="Arial" w:hint="default"/>
      </w:rPr>
    </w:lvl>
    <w:lvl w:ilvl="7" w:tplc="6100C582" w:tentative="1">
      <w:start w:val="1"/>
      <w:numFmt w:val="bullet"/>
      <w:lvlText w:val="•"/>
      <w:lvlJc w:val="left"/>
      <w:pPr>
        <w:tabs>
          <w:tab w:val="num" w:pos="5760"/>
        </w:tabs>
        <w:ind w:left="5760" w:hanging="360"/>
      </w:pPr>
      <w:rPr>
        <w:rFonts w:ascii="Arial" w:hAnsi="Arial" w:cs="Arial" w:hint="default"/>
      </w:rPr>
    </w:lvl>
    <w:lvl w:ilvl="8" w:tplc="A3D0D1E8" w:tentative="1">
      <w:start w:val="1"/>
      <w:numFmt w:val="bullet"/>
      <w:lvlText w:val="•"/>
      <w:lvlJc w:val="left"/>
      <w:pPr>
        <w:tabs>
          <w:tab w:val="num" w:pos="6480"/>
        </w:tabs>
        <w:ind w:left="6480" w:hanging="360"/>
      </w:pPr>
      <w:rPr>
        <w:rFonts w:ascii="Arial" w:hAnsi="Arial" w:cs="Arial" w:hint="default"/>
      </w:rPr>
    </w:lvl>
  </w:abstractNum>
  <w:abstractNum w:abstractNumId="9">
    <w:nsid w:val="1F0B2500"/>
    <w:multiLevelType w:val="hybridMultilevel"/>
    <w:tmpl w:val="643A8082"/>
    <w:lvl w:ilvl="0" w:tplc="84286552">
      <w:start w:val="1"/>
      <w:numFmt w:val="bullet"/>
      <w:lvlText w:val="•"/>
      <w:lvlJc w:val="left"/>
      <w:pPr>
        <w:tabs>
          <w:tab w:val="num" w:pos="720"/>
        </w:tabs>
        <w:ind w:left="720" w:hanging="360"/>
      </w:pPr>
      <w:rPr>
        <w:rFonts w:ascii="Arial" w:hAnsi="Arial" w:cs="Arial" w:hint="default"/>
      </w:rPr>
    </w:lvl>
    <w:lvl w:ilvl="1" w:tplc="86D40130" w:tentative="1">
      <w:start w:val="1"/>
      <w:numFmt w:val="bullet"/>
      <w:lvlText w:val="•"/>
      <w:lvlJc w:val="left"/>
      <w:pPr>
        <w:tabs>
          <w:tab w:val="num" w:pos="1440"/>
        </w:tabs>
        <w:ind w:left="1440" w:hanging="360"/>
      </w:pPr>
      <w:rPr>
        <w:rFonts w:ascii="Arial" w:hAnsi="Arial" w:cs="Arial" w:hint="default"/>
      </w:rPr>
    </w:lvl>
    <w:lvl w:ilvl="2" w:tplc="DC2C3B6C" w:tentative="1">
      <w:start w:val="1"/>
      <w:numFmt w:val="bullet"/>
      <w:lvlText w:val="•"/>
      <w:lvlJc w:val="left"/>
      <w:pPr>
        <w:tabs>
          <w:tab w:val="num" w:pos="2160"/>
        </w:tabs>
        <w:ind w:left="2160" w:hanging="360"/>
      </w:pPr>
      <w:rPr>
        <w:rFonts w:ascii="Arial" w:hAnsi="Arial" w:cs="Arial" w:hint="default"/>
      </w:rPr>
    </w:lvl>
    <w:lvl w:ilvl="3" w:tplc="1CA429C8" w:tentative="1">
      <w:start w:val="1"/>
      <w:numFmt w:val="bullet"/>
      <w:lvlText w:val="•"/>
      <w:lvlJc w:val="left"/>
      <w:pPr>
        <w:tabs>
          <w:tab w:val="num" w:pos="2880"/>
        </w:tabs>
        <w:ind w:left="2880" w:hanging="360"/>
      </w:pPr>
      <w:rPr>
        <w:rFonts w:ascii="Arial" w:hAnsi="Arial" w:cs="Arial" w:hint="default"/>
      </w:rPr>
    </w:lvl>
    <w:lvl w:ilvl="4" w:tplc="6876CD28" w:tentative="1">
      <w:start w:val="1"/>
      <w:numFmt w:val="bullet"/>
      <w:lvlText w:val="•"/>
      <w:lvlJc w:val="left"/>
      <w:pPr>
        <w:tabs>
          <w:tab w:val="num" w:pos="3600"/>
        </w:tabs>
        <w:ind w:left="3600" w:hanging="360"/>
      </w:pPr>
      <w:rPr>
        <w:rFonts w:ascii="Arial" w:hAnsi="Arial" w:cs="Arial" w:hint="default"/>
      </w:rPr>
    </w:lvl>
    <w:lvl w:ilvl="5" w:tplc="05AAB33E" w:tentative="1">
      <w:start w:val="1"/>
      <w:numFmt w:val="bullet"/>
      <w:lvlText w:val="•"/>
      <w:lvlJc w:val="left"/>
      <w:pPr>
        <w:tabs>
          <w:tab w:val="num" w:pos="4320"/>
        </w:tabs>
        <w:ind w:left="4320" w:hanging="360"/>
      </w:pPr>
      <w:rPr>
        <w:rFonts w:ascii="Arial" w:hAnsi="Arial" w:cs="Arial" w:hint="default"/>
      </w:rPr>
    </w:lvl>
    <w:lvl w:ilvl="6" w:tplc="E4C4D872" w:tentative="1">
      <w:start w:val="1"/>
      <w:numFmt w:val="bullet"/>
      <w:lvlText w:val="•"/>
      <w:lvlJc w:val="left"/>
      <w:pPr>
        <w:tabs>
          <w:tab w:val="num" w:pos="5040"/>
        </w:tabs>
        <w:ind w:left="5040" w:hanging="360"/>
      </w:pPr>
      <w:rPr>
        <w:rFonts w:ascii="Arial" w:hAnsi="Arial" w:cs="Arial" w:hint="default"/>
      </w:rPr>
    </w:lvl>
    <w:lvl w:ilvl="7" w:tplc="0784A1EA" w:tentative="1">
      <w:start w:val="1"/>
      <w:numFmt w:val="bullet"/>
      <w:lvlText w:val="•"/>
      <w:lvlJc w:val="left"/>
      <w:pPr>
        <w:tabs>
          <w:tab w:val="num" w:pos="5760"/>
        </w:tabs>
        <w:ind w:left="5760" w:hanging="360"/>
      </w:pPr>
      <w:rPr>
        <w:rFonts w:ascii="Arial" w:hAnsi="Arial" w:cs="Arial" w:hint="default"/>
      </w:rPr>
    </w:lvl>
    <w:lvl w:ilvl="8" w:tplc="FCEC906C" w:tentative="1">
      <w:start w:val="1"/>
      <w:numFmt w:val="bullet"/>
      <w:lvlText w:val="•"/>
      <w:lvlJc w:val="left"/>
      <w:pPr>
        <w:tabs>
          <w:tab w:val="num" w:pos="6480"/>
        </w:tabs>
        <w:ind w:left="6480" w:hanging="360"/>
      </w:pPr>
      <w:rPr>
        <w:rFonts w:ascii="Arial" w:hAnsi="Arial" w:cs="Arial" w:hint="default"/>
      </w:rPr>
    </w:lvl>
  </w:abstractNum>
  <w:abstractNum w:abstractNumId="10">
    <w:nsid w:val="27093E03"/>
    <w:multiLevelType w:val="hybridMultilevel"/>
    <w:tmpl w:val="94C82E5A"/>
    <w:lvl w:ilvl="0" w:tplc="B75E36B8">
      <w:start w:val="1"/>
      <w:numFmt w:val="bullet"/>
      <w:lvlText w:val="•"/>
      <w:lvlJc w:val="left"/>
      <w:pPr>
        <w:tabs>
          <w:tab w:val="num" w:pos="720"/>
        </w:tabs>
        <w:ind w:left="720" w:hanging="360"/>
      </w:pPr>
      <w:rPr>
        <w:rFonts w:ascii="Arial" w:hAnsi="Arial" w:cs="Arial" w:hint="default"/>
      </w:rPr>
    </w:lvl>
    <w:lvl w:ilvl="1" w:tplc="ABA2DA96" w:tentative="1">
      <w:start w:val="1"/>
      <w:numFmt w:val="bullet"/>
      <w:lvlText w:val="•"/>
      <w:lvlJc w:val="left"/>
      <w:pPr>
        <w:tabs>
          <w:tab w:val="num" w:pos="1440"/>
        </w:tabs>
        <w:ind w:left="1440" w:hanging="360"/>
      </w:pPr>
      <w:rPr>
        <w:rFonts w:ascii="Arial" w:hAnsi="Arial" w:cs="Arial" w:hint="default"/>
      </w:rPr>
    </w:lvl>
    <w:lvl w:ilvl="2" w:tplc="39221F32" w:tentative="1">
      <w:start w:val="1"/>
      <w:numFmt w:val="bullet"/>
      <w:lvlText w:val="•"/>
      <w:lvlJc w:val="left"/>
      <w:pPr>
        <w:tabs>
          <w:tab w:val="num" w:pos="2160"/>
        </w:tabs>
        <w:ind w:left="2160" w:hanging="360"/>
      </w:pPr>
      <w:rPr>
        <w:rFonts w:ascii="Arial" w:hAnsi="Arial" w:cs="Arial" w:hint="default"/>
      </w:rPr>
    </w:lvl>
    <w:lvl w:ilvl="3" w:tplc="31E46A20" w:tentative="1">
      <w:start w:val="1"/>
      <w:numFmt w:val="bullet"/>
      <w:lvlText w:val="•"/>
      <w:lvlJc w:val="left"/>
      <w:pPr>
        <w:tabs>
          <w:tab w:val="num" w:pos="2880"/>
        </w:tabs>
        <w:ind w:left="2880" w:hanging="360"/>
      </w:pPr>
      <w:rPr>
        <w:rFonts w:ascii="Arial" w:hAnsi="Arial" w:cs="Arial" w:hint="default"/>
      </w:rPr>
    </w:lvl>
    <w:lvl w:ilvl="4" w:tplc="AB381402" w:tentative="1">
      <w:start w:val="1"/>
      <w:numFmt w:val="bullet"/>
      <w:lvlText w:val="•"/>
      <w:lvlJc w:val="left"/>
      <w:pPr>
        <w:tabs>
          <w:tab w:val="num" w:pos="3600"/>
        </w:tabs>
        <w:ind w:left="3600" w:hanging="360"/>
      </w:pPr>
      <w:rPr>
        <w:rFonts w:ascii="Arial" w:hAnsi="Arial" w:cs="Arial" w:hint="default"/>
      </w:rPr>
    </w:lvl>
    <w:lvl w:ilvl="5" w:tplc="F092DBAA" w:tentative="1">
      <w:start w:val="1"/>
      <w:numFmt w:val="bullet"/>
      <w:lvlText w:val="•"/>
      <w:lvlJc w:val="left"/>
      <w:pPr>
        <w:tabs>
          <w:tab w:val="num" w:pos="4320"/>
        </w:tabs>
        <w:ind w:left="4320" w:hanging="360"/>
      </w:pPr>
      <w:rPr>
        <w:rFonts w:ascii="Arial" w:hAnsi="Arial" w:cs="Arial" w:hint="default"/>
      </w:rPr>
    </w:lvl>
    <w:lvl w:ilvl="6" w:tplc="8430A116" w:tentative="1">
      <w:start w:val="1"/>
      <w:numFmt w:val="bullet"/>
      <w:lvlText w:val="•"/>
      <w:lvlJc w:val="left"/>
      <w:pPr>
        <w:tabs>
          <w:tab w:val="num" w:pos="5040"/>
        </w:tabs>
        <w:ind w:left="5040" w:hanging="360"/>
      </w:pPr>
      <w:rPr>
        <w:rFonts w:ascii="Arial" w:hAnsi="Arial" w:cs="Arial" w:hint="default"/>
      </w:rPr>
    </w:lvl>
    <w:lvl w:ilvl="7" w:tplc="3DB4B042" w:tentative="1">
      <w:start w:val="1"/>
      <w:numFmt w:val="bullet"/>
      <w:lvlText w:val="•"/>
      <w:lvlJc w:val="left"/>
      <w:pPr>
        <w:tabs>
          <w:tab w:val="num" w:pos="5760"/>
        </w:tabs>
        <w:ind w:left="5760" w:hanging="360"/>
      </w:pPr>
      <w:rPr>
        <w:rFonts w:ascii="Arial" w:hAnsi="Arial" w:cs="Arial" w:hint="default"/>
      </w:rPr>
    </w:lvl>
    <w:lvl w:ilvl="8" w:tplc="4E209150" w:tentative="1">
      <w:start w:val="1"/>
      <w:numFmt w:val="bullet"/>
      <w:lvlText w:val="•"/>
      <w:lvlJc w:val="left"/>
      <w:pPr>
        <w:tabs>
          <w:tab w:val="num" w:pos="6480"/>
        </w:tabs>
        <w:ind w:left="6480" w:hanging="360"/>
      </w:pPr>
      <w:rPr>
        <w:rFonts w:ascii="Arial" w:hAnsi="Arial" w:cs="Arial" w:hint="default"/>
      </w:rPr>
    </w:lvl>
  </w:abstractNum>
  <w:abstractNum w:abstractNumId="11">
    <w:nsid w:val="2F9B7A0E"/>
    <w:multiLevelType w:val="hybridMultilevel"/>
    <w:tmpl w:val="9444848C"/>
    <w:lvl w:ilvl="0" w:tplc="5A305F24">
      <w:start w:val="1"/>
      <w:numFmt w:val="bullet"/>
      <w:lvlText w:val="•"/>
      <w:lvlJc w:val="left"/>
      <w:pPr>
        <w:tabs>
          <w:tab w:val="num" w:pos="720"/>
        </w:tabs>
        <w:ind w:left="720" w:hanging="360"/>
      </w:pPr>
      <w:rPr>
        <w:rFonts w:ascii="Arial" w:hAnsi="Arial" w:cs="Arial" w:hint="default"/>
      </w:rPr>
    </w:lvl>
    <w:lvl w:ilvl="1" w:tplc="41EEB0AC" w:tentative="1">
      <w:start w:val="1"/>
      <w:numFmt w:val="bullet"/>
      <w:lvlText w:val="•"/>
      <w:lvlJc w:val="left"/>
      <w:pPr>
        <w:tabs>
          <w:tab w:val="num" w:pos="1440"/>
        </w:tabs>
        <w:ind w:left="1440" w:hanging="360"/>
      </w:pPr>
      <w:rPr>
        <w:rFonts w:ascii="Arial" w:hAnsi="Arial" w:cs="Arial" w:hint="default"/>
      </w:rPr>
    </w:lvl>
    <w:lvl w:ilvl="2" w:tplc="6DBC34A4" w:tentative="1">
      <w:start w:val="1"/>
      <w:numFmt w:val="bullet"/>
      <w:lvlText w:val="•"/>
      <w:lvlJc w:val="left"/>
      <w:pPr>
        <w:tabs>
          <w:tab w:val="num" w:pos="2160"/>
        </w:tabs>
        <w:ind w:left="2160" w:hanging="360"/>
      </w:pPr>
      <w:rPr>
        <w:rFonts w:ascii="Arial" w:hAnsi="Arial" w:cs="Arial" w:hint="default"/>
      </w:rPr>
    </w:lvl>
    <w:lvl w:ilvl="3" w:tplc="FC0AC6A0" w:tentative="1">
      <w:start w:val="1"/>
      <w:numFmt w:val="bullet"/>
      <w:lvlText w:val="•"/>
      <w:lvlJc w:val="left"/>
      <w:pPr>
        <w:tabs>
          <w:tab w:val="num" w:pos="2880"/>
        </w:tabs>
        <w:ind w:left="2880" w:hanging="360"/>
      </w:pPr>
      <w:rPr>
        <w:rFonts w:ascii="Arial" w:hAnsi="Arial" w:cs="Arial" w:hint="default"/>
      </w:rPr>
    </w:lvl>
    <w:lvl w:ilvl="4" w:tplc="A5A671C2" w:tentative="1">
      <w:start w:val="1"/>
      <w:numFmt w:val="bullet"/>
      <w:lvlText w:val="•"/>
      <w:lvlJc w:val="left"/>
      <w:pPr>
        <w:tabs>
          <w:tab w:val="num" w:pos="3600"/>
        </w:tabs>
        <w:ind w:left="3600" w:hanging="360"/>
      </w:pPr>
      <w:rPr>
        <w:rFonts w:ascii="Arial" w:hAnsi="Arial" w:cs="Arial" w:hint="default"/>
      </w:rPr>
    </w:lvl>
    <w:lvl w:ilvl="5" w:tplc="BAA61AB4" w:tentative="1">
      <w:start w:val="1"/>
      <w:numFmt w:val="bullet"/>
      <w:lvlText w:val="•"/>
      <w:lvlJc w:val="left"/>
      <w:pPr>
        <w:tabs>
          <w:tab w:val="num" w:pos="4320"/>
        </w:tabs>
        <w:ind w:left="4320" w:hanging="360"/>
      </w:pPr>
      <w:rPr>
        <w:rFonts w:ascii="Arial" w:hAnsi="Arial" w:cs="Arial" w:hint="default"/>
      </w:rPr>
    </w:lvl>
    <w:lvl w:ilvl="6" w:tplc="F5206612" w:tentative="1">
      <w:start w:val="1"/>
      <w:numFmt w:val="bullet"/>
      <w:lvlText w:val="•"/>
      <w:lvlJc w:val="left"/>
      <w:pPr>
        <w:tabs>
          <w:tab w:val="num" w:pos="5040"/>
        </w:tabs>
        <w:ind w:left="5040" w:hanging="360"/>
      </w:pPr>
      <w:rPr>
        <w:rFonts w:ascii="Arial" w:hAnsi="Arial" w:cs="Arial" w:hint="default"/>
      </w:rPr>
    </w:lvl>
    <w:lvl w:ilvl="7" w:tplc="2488CE00" w:tentative="1">
      <w:start w:val="1"/>
      <w:numFmt w:val="bullet"/>
      <w:lvlText w:val="•"/>
      <w:lvlJc w:val="left"/>
      <w:pPr>
        <w:tabs>
          <w:tab w:val="num" w:pos="5760"/>
        </w:tabs>
        <w:ind w:left="5760" w:hanging="360"/>
      </w:pPr>
      <w:rPr>
        <w:rFonts w:ascii="Arial" w:hAnsi="Arial" w:cs="Arial" w:hint="default"/>
      </w:rPr>
    </w:lvl>
    <w:lvl w:ilvl="8" w:tplc="4C920142" w:tentative="1">
      <w:start w:val="1"/>
      <w:numFmt w:val="bullet"/>
      <w:lvlText w:val="•"/>
      <w:lvlJc w:val="left"/>
      <w:pPr>
        <w:tabs>
          <w:tab w:val="num" w:pos="6480"/>
        </w:tabs>
        <w:ind w:left="6480" w:hanging="360"/>
      </w:pPr>
      <w:rPr>
        <w:rFonts w:ascii="Arial" w:hAnsi="Arial" w:cs="Arial" w:hint="default"/>
      </w:rPr>
    </w:lvl>
  </w:abstractNum>
  <w:abstractNum w:abstractNumId="12">
    <w:nsid w:val="33B262E8"/>
    <w:multiLevelType w:val="hybridMultilevel"/>
    <w:tmpl w:val="5688314C"/>
    <w:lvl w:ilvl="0" w:tplc="7BCCAA92">
      <w:start w:val="1"/>
      <w:numFmt w:val="bullet"/>
      <w:lvlText w:val="•"/>
      <w:lvlJc w:val="left"/>
      <w:pPr>
        <w:tabs>
          <w:tab w:val="num" w:pos="720"/>
        </w:tabs>
        <w:ind w:left="720" w:hanging="360"/>
      </w:pPr>
      <w:rPr>
        <w:rFonts w:ascii="Arial" w:hAnsi="Arial" w:cs="Arial" w:hint="default"/>
      </w:rPr>
    </w:lvl>
    <w:lvl w:ilvl="1" w:tplc="1BF84F22" w:tentative="1">
      <w:start w:val="1"/>
      <w:numFmt w:val="bullet"/>
      <w:lvlText w:val="•"/>
      <w:lvlJc w:val="left"/>
      <w:pPr>
        <w:tabs>
          <w:tab w:val="num" w:pos="1440"/>
        </w:tabs>
        <w:ind w:left="1440" w:hanging="360"/>
      </w:pPr>
      <w:rPr>
        <w:rFonts w:ascii="Arial" w:hAnsi="Arial" w:cs="Arial" w:hint="default"/>
      </w:rPr>
    </w:lvl>
    <w:lvl w:ilvl="2" w:tplc="1CB83880" w:tentative="1">
      <w:start w:val="1"/>
      <w:numFmt w:val="bullet"/>
      <w:lvlText w:val="•"/>
      <w:lvlJc w:val="left"/>
      <w:pPr>
        <w:tabs>
          <w:tab w:val="num" w:pos="2160"/>
        </w:tabs>
        <w:ind w:left="2160" w:hanging="360"/>
      </w:pPr>
      <w:rPr>
        <w:rFonts w:ascii="Arial" w:hAnsi="Arial" w:cs="Arial" w:hint="default"/>
      </w:rPr>
    </w:lvl>
    <w:lvl w:ilvl="3" w:tplc="F5B6D52C" w:tentative="1">
      <w:start w:val="1"/>
      <w:numFmt w:val="bullet"/>
      <w:lvlText w:val="•"/>
      <w:lvlJc w:val="left"/>
      <w:pPr>
        <w:tabs>
          <w:tab w:val="num" w:pos="2880"/>
        </w:tabs>
        <w:ind w:left="2880" w:hanging="360"/>
      </w:pPr>
      <w:rPr>
        <w:rFonts w:ascii="Arial" w:hAnsi="Arial" w:cs="Arial" w:hint="default"/>
      </w:rPr>
    </w:lvl>
    <w:lvl w:ilvl="4" w:tplc="B4107BEA" w:tentative="1">
      <w:start w:val="1"/>
      <w:numFmt w:val="bullet"/>
      <w:lvlText w:val="•"/>
      <w:lvlJc w:val="left"/>
      <w:pPr>
        <w:tabs>
          <w:tab w:val="num" w:pos="3600"/>
        </w:tabs>
        <w:ind w:left="3600" w:hanging="360"/>
      </w:pPr>
      <w:rPr>
        <w:rFonts w:ascii="Arial" w:hAnsi="Arial" w:cs="Arial" w:hint="default"/>
      </w:rPr>
    </w:lvl>
    <w:lvl w:ilvl="5" w:tplc="620E144A" w:tentative="1">
      <w:start w:val="1"/>
      <w:numFmt w:val="bullet"/>
      <w:lvlText w:val="•"/>
      <w:lvlJc w:val="left"/>
      <w:pPr>
        <w:tabs>
          <w:tab w:val="num" w:pos="4320"/>
        </w:tabs>
        <w:ind w:left="4320" w:hanging="360"/>
      </w:pPr>
      <w:rPr>
        <w:rFonts w:ascii="Arial" w:hAnsi="Arial" w:cs="Arial" w:hint="default"/>
      </w:rPr>
    </w:lvl>
    <w:lvl w:ilvl="6" w:tplc="E2C08F3C" w:tentative="1">
      <w:start w:val="1"/>
      <w:numFmt w:val="bullet"/>
      <w:lvlText w:val="•"/>
      <w:lvlJc w:val="left"/>
      <w:pPr>
        <w:tabs>
          <w:tab w:val="num" w:pos="5040"/>
        </w:tabs>
        <w:ind w:left="5040" w:hanging="360"/>
      </w:pPr>
      <w:rPr>
        <w:rFonts w:ascii="Arial" w:hAnsi="Arial" w:cs="Arial" w:hint="default"/>
      </w:rPr>
    </w:lvl>
    <w:lvl w:ilvl="7" w:tplc="69463502" w:tentative="1">
      <w:start w:val="1"/>
      <w:numFmt w:val="bullet"/>
      <w:lvlText w:val="•"/>
      <w:lvlJc w:val="left"/>
      <w:pPr>
        <w:tabs>
          <w:tab w:val="num" w:pos="5760"/>
        </w:tabs>
        <w:ind w:left="5760" w:hanging="360"/>
      </w:pPr>
      <w:rPr>
        <w:rFonts w:ascii="Arial" w:hAnsi="Arial" w:cs="Arial" w:hint="default"/>
      </w:rPr>
    </w:lvl>
    <w:lvl w:ilvl="8" w:tplc="E85CD254" w:tentative="1">
      <w:start w:val="1"/>
      <w:numFmt w:val="bullet"/>
      <w:lvlText w:val="•"/>
      <w:lvlJc w:val="left"/>
      <w:pPr>
        <w:tabs>
          <w:tab w:val="num" w:pos="6480"/>
        </w:tabs>
        <w:ind w:left="6480" w:hanging="360"/>
      </w:pPr>
      <w:rPr>
        <w:rFonts w:ascii="Arial" w:hAnsi="Arial" w:cs="Arial" w:hint="default"/>
      </w:rPr>
    </w:lvl>
  </w:abstractNum>
  <w:abstractNum w:abstractNumId="13">
    <w:nsid w:val="39216840"/>
    <w:multiLevelType w:val="hybridMultilevel"/>
    <w:tmpl w:val="719E160A"/>
    <w:lvl w:ilvl="0" w:tplc="F81ABD0A">
      <w:start w:val="1"/>
      <w:numFmt w:val="bullet"/>
      <w:lvlText w:val="•"/>
      <w:lvlJc w:val="left"/>
      <w:pPr>
        <w:tabs>
          <w:tab w:val="num" w:pos="720"/>
        </w:tabs>
        <w:ind w:left="720" w:hanging="360"/>
      </w:pPr>
      <w:rPr>
        <w:rFonts w:ascii="Arial" w:hAnsi="Arial" w:cs="Arial" w:hint="default"/>
      </w:rPr>
    </w:lvl>
    <w:lvl w:ilvl="1" w:tplc="D850F4E8" w:tentative="1">
      <w:start w:val="1"/>
      <w:numFmt w:val="bullet"/>
      <w:lvlText w:val="•"/>
      <w:lvlJc w:val="left"/>
      <w:pPr>
        <w:tabs>
          <w:tab w:val="num" w:pos="1440"/>
        </w:tabs>
        <w:ind w:left="1440" w:hanging="360"/>
      </w:pPr>
      <w:rPr>
        <w:rFonts w:ascii="Arial" w:hAnsi="Arial" w:cs="Arial" w:hint="default"/>
      </w:rPr>
    </w:lvl>
    <w:lvl w:ilvl="2" w:tplc="EC3A2E98" w:tentative="1">
      <w:start w:val="1"/>
      <w:numFmt w:val="bullet"/>
      <w:lvlText w:val="•"/>
      <w:lvlJc w:val="left"/>
      <w:pPr>
        <w:tabs>
          <w:tab w:val="num" w:pos="2160"/>
        </w:tabs>
        <w:ind w:left="2160" w:hanging="360"/>
      </w:pPr>
      <w:rPr>
        <w:rFonts w:ascii="Arial" w:hAnsi="Arial" w:cs="Arial" w:hint="default"/>
      </w:rPr>
    </w:lvl>
    <w:lvl w:ilvl="3" w:tplc="0C44E924" w:tentative="1">
      <w:start w:val="1"/>
      <w:numFmt w:val="bullet"/>
      <w:lvlText w:val="•"/>
      <w:lvlJc w:val="left"/>
      <w:pPr>
        <w:tabs>
          <w:tab w:val="num" w:pos="2880"/>
        </w:tabs>
        <w:ind w:left="2880" w:hanging="360"/>
      </w:pPr>
      <w:rPr>
        <w:rFonts w:ascii="Arial" w:hAnsi="Arial" w:cs="Arial" w:hint="default"/>
      </w:rPr>
    </w:lvl>
    <w:lvl w:ilvl="4" w:tplc="C9C88E8A" w:tentative="1">
      <w:start w:val="1"/>
      <w:numFmt w:val="bullet"/>
      <w:lvlText w:val="•"/>
      <w:lvlJc w:val="left"/>
      <w:pPr>
        <w:tabs>
          <w:tab w:val="num" w:pos="3600"/>
        </w:tabs>
        <w:ind w:left="3600" w:hanging="360"/>
      </w:pPr>
      <w:rPr>
        <w:rFonts w:ascii="Arial" w:hAnsi="Arial" w:cs="Arial" w:hint="default"/>
      </w:rPr>
    </w:lvl>
    <w:lvl w:ilvl="5" w:tplc="BCA0B9E2" w:tentative="1">
      <w:start w:val="1"/>
      <w:numFmt w:val="bullet"/>
      <w:lvlText w:val="•"/>
      <w:lvlJc w:val="left"/>
      <w:pPr>
        <w:tabs>
          <w:tab w:val="num" w:pos="4320"/>
        </w:tabs>
        <w:ind w:left="4320" w:hanging="360"/>
      </w:pPr>
      <w:rPr>
        <w:rFonts w:ascii="Arial" w:hAnsi="Arial" w:cs="Arial" w:hint="default"/>
      </w:rPr>
    </w:lvl>
    <w:lvl w:ilvl="6" w:tplc="9D0658DA" w:tentative="1">
      <w:start w:val="1"/>
      <w:numFmt w:val="bullet"/>
      <w:lvlText w:val="•"/>
      <w:lvlJc w:val="left"/>
      <w:pPr>
        <w:tabs>
          <w:tab w:val="num" w:pos="5040"/>
        </w:tabs>
        <w:ind w:left="5040" w:hanging="360"/>
      </w:pPr>
      <w:rPr>
        <w:rFonts w:ascii="Arial" w:hAnsi="Arial" w:cs="Arial" w:hint="default"/>
      </w:rPr>
    </w:lvl>
    <w:lvl w:ilvl="7" w:tplc="F5FA4168" w:tentative="1">
      <w:start w:val="1"/>
      <w:numFmt w:val="bullet"/>
      <w:lvlText w:val="•"/>
      <w:lvlJc w:val="left"/>
      <w:pPr>
        <w:tabs>
          <w:tab w:val="num" w:pos="5760"/>
        </w:tabs>
        <w:ind w:left="5760" w:hanging="360"/>
      </w:pPr>
      <w:rPr>
        <w:rFonts w:ascii="Arial" w:hAnsi="Arial" w:cs="Arial" w:hint="default"/>
      </w:rPr>
    </w:lvl>
    <w:lvl w:ilvl="8" w:tplc="B8C291DC" w:tentative="1">
      <w:start w:val="1"/>
      <w:numFmt w:val="bullet"/>
      <w:lvlText w:val="•"/>
      <w:lvlJc w:val="left"/>
      <w:pPr>
        <w:tabs>
          <w:tab w:val="num" w:pos="6480"/>
        </w:tabs>
        <w:ind w:left="6480" w:hanging="360"/>
      </w:pPr>
      <w:rPr>
        <w:rFonts w:ascii="Arial" w:hAnsi="Arial" w:cs="Arial" w:hint="default"/>
      </w:rPr>
    </w:lvl>
  </w:abstractNum>
  <w:abstractNum w:abstractNumId="14">
    <w:nsid w:val="3ABB4F81"/>
    <w:multiLevelType w:val="hybridMultilevel"/>
    <w:tmpl w:val="77709A10"/>
    <w:lvl w:ilvl="0" w:tplc="EDF2E0AA">
      <w:start w:val="1"/>
      <w:numFmt w:val="bullet"/>
      <w:lvlText w:val="•"/>
      <w:lvlJc w:val="left"/>
      <w:pPr>
        <w:tabs>
          <w:tab w:val="num" w:pos="720"/>
        </w:tabs>
        <w:ind w:left="720" w:hanging="360"/>
      </w:pPr>
      <w:rPr>
        <w:rFonts w:ascii="Arial" w:hAnsi="Arial" w:cs="Arial" w:hint="default"/>
      </w:rPr>
    </w:lvl>
    <w:lvl w:ilvl="1" w:tplc="87460BF8" w:tentative="1">
      <w:start w:val="1"/>
      <w:numFmt w:val="bullet"/>
      <w:lvlText w:val="•"/>
      <w:lvlJc w:val="left"/>
      <w:pPr>
        <w:tabs>
          <w:tab w:val="num" w:pos="1440"/>
        </w:tabs>
        <w:ind w:left="1440" w:hanging="360"/>
      </w:pPr>
      <w:rPr>
        <w:rFonts w:ascii="Arial" w:hAnsi="Arial" w:cs="Arial" w:hint="default"/>
      </w:rPr>
    </w:lvl>
    <w:lvl w:ilvl="2" w:tplc="74E2764A" w:tentative="1">
      <w:start w:val="1"/>
      <w:numFmt w:val="bullet"/>
      <w:lvlText w:val="•"/>
      <w:lvlJc w:val="left"/>
      <w:pPr>
        <w:tabs>
          <w:tab w:val="num" w:pos="2160"/>
        </w:tabs>
        <w:ind w:left="2160" w:hanging="360"/>
      </w:pPr>
      <w:rPr>
        <w:rFonts w:ascii="Arial" w:hAnsi="Arial" w:cs="Arial" w:hint="default"/>
      </w:rPr>
    </w:lvl>
    <w:lvl w:ilvl="3" w:tplc="8932ED00" w:tentative="1">
      <w:start w:val="1"/>
      <w:numFmt w:val="bullet"/>
      <w:lvlText w:val="•"/>
      <w:lvlJc w:val="left"/>
      <w:pPr>
        <w:tabs>
          <w:tab w:val="num" w:pos="2880"/>
        </w:tabs>
        <w:ind w:left="2880" w:hanging="360"/>
      </w:pPr>
      <w:rPr>
        <w:rFonts w:ascii="Arial" w:hAnsi="Arial" w:cs="Arial" w:hint="default"/>
      </w:rPr>
    </w:lvl>
    <w:lvl w:ilvl="4" w:tplc="B72E129E" w:tentative="1">
      <w:start w:val="1"/>
      <w:numFmt w:val="bullet"/>
      <w:lvlText w:val="•"/>
      <w:lvlJc w:val="left"/>
      <w:pPr>
        <w:tabs>
          <w:tab w:val="num" w:pos="3600"/>
        </w:tabs>
        <w:ind w:left="3600" w:hanging="360"/>
      </w:pPr>
      <w:rPr>
        <w:rFonts w:ascii="Arial" w:hAnsi="Arial" w:cs="Arial" w:hint="default"/>
      </w:rPr>
    </w:lvl>
    <w:lvl w:ilvl="5" w:tplc="B7F6E7A6" w:tentative="1">
      <w:start w:val="1"/>
      <w:numFmt w:val="bullet"/>
      <w:lvlText w:val="•"/>
      <w:lvlJc w:val="left"/>
      <w:pPr>
        <w:tabs>
          <w:tab w:val="num" w:pos="4320"/>
        </w:tabs>
        <w:ind w:left="4320" w:hanging="360"/>
      </w:pPr>
      <w:rPr>
        <w:rFonts w:ascii="Arial" w:hAnsi="Arial" w:cs="Arial" w:hint="default"/>
      </w:rPr>
    </w:lvl>
    <w:lvl w:ilvl="6" w:tplc="893664E6" w:tentative="1">
      <w:start w:val="1"/>
      <w:numFmt w:val="bullet"/>
      <w:lvlText w:val="•"/>
      <w:lvlJc w:val="left"/>
      <w:pPr>
        <w:tabs>
          <w:tab w:val="num" w:pos="5040"/>
        </w:tabs>
        <w:ind w:left="5040" w:hanging="360"/>
      </w:pPr>
      <w:rPr>
        <w:rFonts w:ascii="Arial" w:hAnsi="Arial" w:cs="Arial" w:hint="default"/>
      </w:rPr>
    </w:lvl>
    <w:lvl w:ilvl="7" w:tplc="5AD86252" w:tentative="1">
      <w:start w:val="1"/>
      <w:numFmt w:val="bullet"/>
      <w:lvlText w:val="•"/>
      <w:lvlJc w:val="left"/>
      <w:pPr>
        <w:tabs>
          <w:tab w:val="num" w:pos="5760"/>
        </w:tabs>
        <w:ind w:left="5760" w:hanging="360"/>
      </w:pPr>
      <w:rPr>
        <w:rFonts w:ascii="Arial" w:hAnsi="Arial" w:cs="Arial" w:hint="default"/>
      </w:rPr>
    </w:lvl>
    <w:lvl w:ilvl="8" w:tplc="72302916" w:tentative="1">
      <w:start w:val="1"/>
      <w:numFmt w:val="bullet"/>
      <w:lvlText w:val="•"/>
      <w:lvlJc w:val="left"/>
      <w:pPr>
        <w:tabs>
          <w:tab w:val="num" w:pos="6480"/>
        </w:tabs>
        <w:ind w:left="6480" w:hanging="360"/>
      </w:pPr>
      <w:rPr>
        <w:rFonts w:ascii="Arial" w:hAnsi="Arial" w:cs="Arial" w:hint="default"/>
      </w:rPr>
    </w:lvl>
  </w:abstractNum>
  <w:abstractNum w:abstractNumId="15">
    <w:nsid w:val="55100E35"/>
    <w:multiLevelType w:val="hybridMultilevel"/>
    <w:tmpl w:val="8356F970"/>
    <w:lvl w:ilvl="0" w:tplc="FFF4BA1A">
      <w:start w:val="1"/>
      <w:numFmt w:val="bullet"/>
      <w:lvlText w:val="•"/>
      <w:lvlJc w:val="left"/>
      <w:pPr>
        <w:tabs>
          <w:tab w:val="num" w:pos="720"/>
        </w:tabs>
        <w:ind w:left="720" w:hanging="360"/>
      </w:pPr>
      <w:rPr>
        <w:rFonts w:ascii="Arial" w:hAnsi="Arial" w:cs="Arial" w:hint="default"/>
      </w:rPr>
    </w:lvl>
    <w:lvl w:ilvl="1" w:tplc="15047FB8" w:tentative="1">
      <w:start w:val="1"/>
      <w:numFmt w:val="bullet"/>
      <w:lvlText w:val="•"/>
      <w:lvlJc w:val="left"/>
      <w:pPr>
        <w:tabs>
          <w:tab w:val="num" w:pos="1440"/>
        </w:tabs>
        <w:ind w:left="1440" w:hanging="360"/>
      </w:pPr>
      <w:rPr>
        <w:rFonts w:ascii="Arial" w:hAnsi="Arial" w:cs="Arial" w:hint="default"/>
      </w:rPr>
    </w:lvl>
    <w:lvl w:ilvl="2" w:tplc="47366792" w:tentative="1">
      <w:start w:val="1"/>
      <w:numFmt w:val="bullet"/>
      <w:lvlText w:val="•"/>
      <w:lvlJc w:val="left"/>
      <w:pPr>
        <w:tabs>
          <w:tab w:val="num" w:pos="2160"/>
        </w:tabs>
        <w:ind w:left="2160" w:hanging="360"/>
      </w:pPr>
      <w:rPr>
        <w:rFonts w:ascii="Arial" w:hAnsi="Arial" w:cs="Arial" w:hint="default"/>
      </w:rPr>
    </w:lvl>
    <w:lvl w:ilvl="3" w:tplc="A96414CA" w:tentative="1">
      <w:start w:val="1"/>
      <w:numFmt w:val="bullet"/>
      <w:lvlText w:val="•"/>
      <w:lvlJc w:val="left"/>
      <w:pPr>
        <w:tabs>
          <w:tab w:val="num" w:pos="2880"/>
        </w:tabs>
        <w:ind w:left="2880" w:hanging="360"/>
      </w:pPr>
      <w:rPr>
        <w:rFonts w:ascii="Arial" w:hAnsi="Arial" w:cs="Arial" w:hint="default"/>
      </w:rPr>
    </w:lvl>
    <w:lvl w:ilvl="4" w:tplc="03F08792" w:tentative="1">
      <w:start w:val="1"/>
      <w:numFmt w:val="bullet"/>
      <w:lvlText w:val="•"/>
      <w:lvlJc w:val="left"/>
      <w:pPr>
        <w:tabs>
          <w:tab w:val="num" w:pos="3600"/>
        </w:tabs>
        <w:ind w:left="3600" w:hanging="360"/>
      </w:pPr>
      <w:rPr>
        <w:rFonts w:ascii="Arial" w:hAnsi="Arial" w:cs="Arial" w:hint="default"/>
      </w:rPr>
    </w:lvl>
    <w:lvl w:ilvl="5" w:tplc="7C88FE3C" w:tentative="1">
      <w:start w:val="1"/>
      <w:numFmt w:val="bullet"/>
      <w:lvlText w:val="•"/>
      <w:lvlJc w:val="left"/>
      <w:pPr>
        <w:tabs>
          <w:tab w:val="num" w:pos="4320"/>
        </w:tabs>
        <w:ind w:left="4320" w:hanging="360"/>
      </w:pPr>
      <w:rPr>
        <w:rFonts w:ascii="Arial" w:hAnsi="Arial" w:cs="Arial" w:hint="default"/>
      </w:rPr>
    </w:lvl>
    <w:lvl w:ilvl="6" w:tplc="0B5893AA" w:tentative="1">
      <w:start w:val="1"/>
      <w:numFmt w:val="bullet"/>
      <w:lvlText w:val="•"/>
      <w:lvlJc w:val="left"/>
      <w:pPr>
        <w:tabs>
          <w:tab w:val="num" w:pos="5040"/>
        </w:tabs>
        <w:ind w:left="5040" w:hanging="360"/>
      </w:pPr>
      <w:rPr>
        <w:rFonts w:ascii="Arial" w:hAnsi="Arial" w:cs="Arial" w:hint="default"/>
      </w:rPr>
    </w:lvl>
    <w:lvl w:ilvl="7" w:tplc="43BAA78A" w:tentative="1">
      <w:start w:val="1"/>
      <w:numFmt w:val="bullet"/>
      <w:lvlText w:val="•"/>
      <w:lvlJc w:val="left"/>
      <w:pPr>
        <w:tabs>
          <w:tab w:val="num" w:pos="5760"/>
        </w:tabs>
        <w:ind w:left="5760" w:hanging="360"/>
      </w:pPr>
      <w:rPr>
        <w:rFonts w:ascii="Arial" w:hAnsi="Arial" w:cs="Arial" w:hint="default"/>
      </w:rPr>
    </w:lvl>
    <w:lvl w:ilvl="8" w:tplc="0408F8AC" w:tentative="1">
      <w:start w:val="1"/>
      <w:numFmt w:val="bullet"/>
      <w:lvlText w:val="•"/>
      <w:lvlJc w:val="left"/>
      <w:pPr>
        <w:tabs>
          <w:tab w:val="num" w:pos="6480"/>
        </w:tabs>
        <w:ind w:left="6480" w:hanging="360"/>
      </w:pPr>
      <w:rPr>
        <w:rFonts w:ascii="Arial" w:hAnsi="Arial" w:cs="Arial" w:hint="default"/>
      </w:rPr>
    </w:lvl>
  </w:abstractNum>
  <w:abstractNum w:abstractNumId="16">
    <w:nsid w:val="5CFF62A6"/>
    <w:multiLevelType w:val="hybridMultilevel"/>
    <w:tmpl w:val="6CDEF0D0"/>
    <w:lvl w:ilvl="0" w:tplc="EDF8FAC6">
      <w:start w:val="1"/>
      <w:numFmt w:val="bullet"/>
      <w:lvlText w:val="•"/>
      <w:lvlJc w:val="left"/>
      <w:pPr>
        <w:tabs>
          <w:tab w:val="num" w:pos="720"/>
        </w:tabs>
        <w:ind w:left="720" w:hanging="360"/>
      </w:pPr>
      <w:rPr>
        <w:rFonts w:ascii="Arial" w:hAnsi="Arial" w:cs="Arial" w:hint="default"/>
      </w:rPr>
    </w:lvl>
    <w:lvl w:ilvl="1" w:tplc="225EBB2C" w:tentative="1">
      <w:start w:val="1"/>
      <w:numFmt w:val="bullet"/>
      <w:lvlText w:val="•"/>
      <w:lvlJc w:val="left"/>
      <w:pPr>
        <w:tabs>
          <w:tab w:val="num" w:pos="1440"/>
        </w:tabs>
        <w:ind w:left="1440" w:hanging="360"/>
      </w:pPr>
      <w:rPr>
        <w:rFonts w:ascii="Arial" w:hAnsi="Arial" w:cs="Arial" w:hint="default"/>
      </w:rPr>
    </w:lvl>
    <w:lvl w:ilvl="2" w:tplc="02F24D04" w:tentative="1">
      <w:start w:val="1"/>
      <w:numFmt w:val="bullet"/>
      <w:lvlText w:val="•"/>
      <w:lvlJc w:val="left"/>
      <w:pPr>
        <w:tabs>
          <w:tab w:val="num" w:pos="2160"/>
        </w:tabs>
        <w:ind w:left="2160" w:hanging="360"/>
      </w:pPr>
      <w:rPr>
        <w:rFonts w:ascii="Arial" w:hAnsi="Arial" w:cs="Arial" w:hint="default"/>
      </w:rPr>
    </w:lvl>
    <w:lvl w:ilvl="3" w:tplc="E182C3FA" w:tentative="1">
      <w:start w:val="1"/>
      <w:numFmt w:val="bullet"/>
      <w:lvlText w:val="•"/>
      <w:lvlJc w:val="left"/>
      <w:pPr>
        <w:tabs>
          <w:tab w:val="num" w:pos="2880"/>
        </w:tabs>
        <w:ind w:left="2880" w:hanging="360"/>
      </w:pPr>
      <w:rPr>
        <w:rFonts w:ascii="Arial" w:hAnsi="Arial" w:cs="Arial" w:hint="default"/>
      </w:rPr>
    </w:lvl>
    <w:lvl w:ilvl="4" w:tplc="BF8620BA" w:tentative="1">
      <w:start w:val="1"/>
      <w:numFmt w:val="bullet"/>
      <w:lvlText w:val="•"/>
      <w:lvlJc w:val="left"/>
      <w:pPr>
        <w:tabs>
          <w:tab w:val="num" w:pos="3600"/>
        </w:tabs>
        <w:ind w:left="3600" w:hanging="360"/>
      </w:pPr>
      <w:rPr>
        <w:rFonts w:ascii="Arial" w:hAnsi="Arial" w:cs="Arial" w:hint="default"/>
      </w:rPr>
    </w:lvl>
    <w:lvl w:ilvl="5" w:tplc="D50813E8" w:tentative="1">
      <w:start w:val="1"/>
      <w:numFmt w:val="bullet"/>
      <w:lvlText w:val="•"/>
      <w:lvlJc w:val="left"/>
      <w:pPr>
        <w:tabs>
          <w:tab w:val="num" w:pos="4320"/>
        </w:tabs>
        <w:ind w:left="4320" w:hanging="360"/>
      </w:pPr>
      <w:rPr>
        <w:rFonts w:ascii="Arial" w:hAnsi="Arial" w:cs="Arial" w:hint="default"/>
      </w:rPr>
    </w:lvl>
    <w:lvl w:ilvl="6" w:tplc="0BFAEC5A" w:tentative="1">
      <w:start w:val="1"/>
      <w:numFmt w:val="bullet"/>
      <w:lvlText w:val="•"/>
      <w:lvlJc w:val="left"/>
      <w:pPr>
        <w:tabs>
          <w:tab w:val="num" w:pos="5040"/>
        </w:tabs>
        <w:ind w:left="5040" w:hanging="360"/>
      </w:pPr>
      <w:rPr>
        <w:rFonts w:ascii="Arial" w:hAnsi="Arial" w:cs="Arial" w:hint="default"/>
      </w:rPr>
    </w:lvl>
    <w:lvl w:ilvl="7" w:tplc="E4B24106" w:tentative="1">
      <w:start w:val="1"/>
      <w:numFmt w:val="bullet"/>
      <w:lvlText w:val="•"/>
      <w:lvlJc w:val="left"/>
      <w:pPr>
        <w:tabs>
          <w:tab w:val="num" w:pos="5760"/>
        </w:tabs>
        <w:ind w:left="5760" w:hanging="360"/>
      </w:pPr>
      <w:rPr>
        <w:rFonts w:ascii="Arial" w:hAnsi="Arial" w:cs="Arial" w:hint="default"/>
      </w:rPr>
    </w:lvl>
    <w:lvl w:ilvl="8" w:tplc="F3661BD2" w:tentative="1">
      <w:start w:val="1"/>
      <w:numFmt w:val="bullet"/>
      <w:lvlText w:val="•"/>
      <w:lvlJc w:val="left"/>
      <w:pPr>
        <w:tabs>
          <w:tab w:val="num" w:pos="6480"/>
        </w:tabs>
        <w:ind w:left="6480" w:hanging="360"/>
      </w:pPr>
      <w:rPr>
        <w:rFonts w:ascii="Arial" w:hAnsi="Arial" w:cs="Arial" w:hint="default"/>
      </w:rPr>
    </w:lvl>
  </w:abstractNum>
  <w:abstractNum w:abstractNumId="17">
    <w:nsid w:val="735565F9"/>
    <w:multiLevelType w:val="hybridMultilevel"/>
    <w:tmpl w:val="A148B430"/>
    <w:lvl w:ilvl="0" w:tplc="2AF2EB76">
      <w:start w:val="1"/>
      <w:numFmt w:val="bullet"/>
      <w:lvlText w:val="•"/>
      <w:lvlJc w:val="left"/>
      <w:pPr>
        <w:tabs>
          <w:tab w:val="num" w:pos="720"/>
        </w:tabs>
        <w:ind w:left="720" w:hanging="360"/>
      </w:pPr>
      <w:rPr>
        <w:rFonts w:ascii="Arial" w:hAnsi="Arial" w:cs="Arial" w:hint="default"/>
      </w:rPr>
    </w:lvl>
    <w:lvl w:ilvl="1" w:tplc="B27CEAAE" w:tentative="1">
      <w:start w:val="1"/>
      <w:numFmt w:val="bullet"/>
      <w:lvlText w:val="•"/>
      <w:lvlJc w:val="left"/>
      <w:pPr>
        <w:tabs>
          <w:tab w:val="num" w:pos="1440"/>
        </w:tabs>
        <w:ind w:left="1440" w:hanging="360"/>
      </w:pPr>
      <w:rPr>
        <w:rFonts w:ascii="Arial" w:hAnsi="Arial" w:cs="Arial" w:hint="default"/>
      </w:rPr>
    </w:lvl>
    <w:lvl w:ilvl="2" w:tplc="C1683BF0" w:tentative="1">
      <w:start w:val="1"/>
      <w:numFmt w:val="bullet"/>
      <w:lvlText w:val="•"/>
      <w:lvlJc w:val="left"/>
      <w:pPr>
        <w:tabs>
          <w:tab w:val="num" w:pos="2160"/>
        </w:tabs>
        <w:ind w:left="2160" w:hanging="360"/>
      </w:pPr>
      <w:rPr>
        <w:rFonts w:ascii="Arial" w:hAnsi="Arial" w:cs="Arial" w:hint="default"/>
      </w:rPr>
    </w:lvl>
    <w:lvl w:ilvl="3" w:tplc="FA3EE7AE" w:tentative="1">
      <w:start w:val="1"/>
      <w:numFmt w:val="bullet"/>
      <w:lvlText w:val="•"/>
      <w:lvlJc w:val="left"/>
      <w:pPr>
        <w:tabs>
          <w:tab w:val="num" w:pos="2880"/>
        </w:tabs>
        <w:ind w:left="2880" w:hanging="360"/>
      </w:pPr>
      <w:rPr>
        <w:rFonts w:ascii="Arial" w:hAnsi="Arial" w:cs="Arial" w:hint="default"/>
      </w:rPr>
    </w:lvl>
    <w:lvl w:ilvl="4" w:tplc="AC6059D6" w:tentative="1">
      <w:start w:val="1"/>
      <w:numFmt w:val="bullet"/>
      <w:lvlText w:val="•"/>
      <w:lvlJc w:val="left"/>
      <w:pPr>
        <w:tabs>
          <w:tab w:val="num" w:pos="3600"/>
        </w:tabs>
        <w:ind w:left="3600" w:hanging="360"/>
      </w:pPr>
      <w:rPr>
        <w:rFonts w:ascii="Arial" w:hAnsi="Arial" w:cs="Arial" w:hint="default"/>
      </w:rPr>
    </w:lvl>
    <w:lvl w:ilvl="5" w:tplc="D3ECBD54" w:tentative="1">
      <w:start w:val="1"/>
      <w:numFmt w:val="bullet"/>
      <w:lvlText w:val="•"/>
      <w:lvlJc w:val="left"/>
      <w:pPr>
        <w:tabs>
          <w:tab w:val="num" w:pos="4320"/>
        </w:tabs>
        <w:ind w:left="4320" w:hanging="360"/>
      </w:pPr>
      <w:rPr>
        <w:rFonts w:ascii="Arial" w:hAnsi="Arial" w:cs="Arial" w:hint="default"/>
      </w:rPr>
    </w:lvl>
    <w:lvl w:ilvl="6" w:tplc="D8386672" w:tentative="1">
      <w:start w:val="1"/>
      <w:numFmt w:val="bullet"/>
      <w:lvlText w:val="•"/>
      <w:lvlJc w:val="left"/>
      <w:pPr>
        <w:tabs>
          <w:tab w:val="num" w:pos="5040"/>
        </w:tabs>
        <w:ind w:left="5040" w:hanging="360"/>
      </w:pPr>
      <w:rPr>
        <w:rFonts w:ascii="Arial" w:hAnsi="Arial" w:cs="Arial" w:hint="default"/>
      </w:rPr>
    </w:lvl>
    <w:lvl w:ilvl="7" w:tplc="84927DAA" w:tentative="1">
      <w:start w:val="1"/>
      <w:numFmt w:val="bullet"/>
      <w:lvlText w:val="•"/>
      <w:lvlJc w:val="left"/>
      <w:pPr>
        <w:tabs>
          <w:tab w:val="num" w:pos="5760"/>
        </w:tabs>
        <w:ind w:left="5760" w:hanging="360"/>
      </w:pPr>
      <w:rPr>
        <w:rFonts w:ascii="Arial" w:hAnsi="Arial" w:cs="Arial" w:hint="default"/>
      </w:rPr>
    </w:lvl>
    <w:lvl w:ilvl="8" w:tplc="7E9C9CB8" w:tentative="1">
      <w:start w:val="1"/>
      <w:numFmt w:val="bullet"/>
      <w:lvlText w:val="•"/>
      <w:lvlJc w:val="left"/>
      <w:pPr>
        <w:tabs>
          <w:tab w:val="num" w:pos="6480"/>
        </w:tabs>
        <w:ind w:left="6480" w:hanging="360"/>
      </w:pPr>
      <w:rPr>
        <w:rFonts w:ascii="Arial" w:hAnsi="Arial" w:cs="Arial" w:hint="default"/>
      </w:rPr>
    </w:lvl>
  </w:abstractNum>
  <w:abstractNum w:abstractNumId="18">
    <w:nsid w:val="77D02B74"/>
    <w:multiLevelType w:val="hybridMultilevel"/>
    <w:tmpl w:val="827E9006"/>
    <w:lvl w:ilvl="0" w:tplc="B31A63E6">
      <w:start w:val="1"/>
      <w:numFmt w:val="bullet"/>
      <w:lvlText w:val="•"/>
      <w:lvlJc w:val="left"/>
      <w:pPr>
        <w:tabs>
          <w:tab w:val="num" w:pos="720"/>
        </w:tabs>
        <w:ind w:left="720" w:hanging="360"/>
      </w:pPr>
      <w:rPr>
        <w:rFonts w:ascii="Arial" w:hAnsi="Arial" w:cs="Arial" w:hint="default"/>
      </w:rPr>
    </w:lvl>
    <w:lvl w:ilvl="1" w:tplc="042EAC96" w:tentative="1">
      <w:start w:val="1"/>
      <w:numFmt w:val="bullet"/>
      <w:lvlText w:val="•"/>
      <w:lvlJc w:val="left"/>
      <w:pPr>
        <w:tabs>
          <w:tab w:val="num" w:pos="1440"/>
        </w:tabs>
        <w:ind w:left="1440" w:hanging="360"/>
      </w:pPr>
      <w:rPr>
        <w:rFonts w:ascii="Arial" w:hAnsi="Arial" w:cs="Arial" w:hint="default"/>
      </w:rPr>
    </w:lvl>
    <w:lvl w:ilvl="2" w:tplc="8884D198" w:tentative="1">
      <w:start w:val="1"/>
      <w:numFmt w:val="bullet"/>
      <w:lvlText w:val="•"/>
      <w:lvlJc w:val="left"/>
      <w:pPr>
        <w:tabs>
          <w:tab w:val="num" w:pos="2160"/>
        </w:tabs>
        <w:ind w:left="2160" w:hanging="360"/>
      </w:pPr>
      <w:rPr>
        <w:rFonts w:ascii="Arial" w:hAnsi="Arial" w:cs="Arial" w:hint="default"/>
      </w:rPr>
    </w:lvl>
    <w:lvl w:ilvl="3" w:tplc="34F03FFC" w:tentative="1">
      <w:start w:val="1"/>
      <w:numFmt w:val="bullet"/>
      <w:lvlText w:val="•"/>
      <w:lvlJc w:val="left"/>
      <w:pPr>
        <w:tabs>
          <w:tab w:val="num" w:pos="2880"/>
        </w:tabs>
        <w:ind w:left="2880" w:hanging="360"/>
      </w:pPr>
      <w:rPr>
        <w:rFonts w:ascii="Arial" w:hAnsi="Arial" w:cs="Arial" w:hint="default"/>
      </w:rPr>
    </w:lvl>
    <w:lvl w:ilvl="4" w:tplc="392CD05E" w:tentative="1">
      <w:start w:val="1"/>
      <w:numFmt w:val="bullet"/>
      <w:lvlText w:val="•"/>
      <w:lvlJc w:val="left"/>
      <w:pPr>
        <w:tabs>
          <w:tab w:val="num" w:pos="3600"/>
        </w:tabs>
        <w:ind w:left="3600" w:hanging="360"/>
      </w:pPr>
      <w:rPr>
        <w:rFonts w:ascii="Arial" w:hAnsi="Arial" w:cs="Arial" w:hint="default"/>
      </w:rPr>
    </w:lvl>
    <w:lvl w:ilvl="5" w:tplc="3EF800C6" w:tentative="1">
      <w:start w:val="1"/>
      <w:numFmt w:val="bullet"/>
      <w:lvlText w:val="•"/>
      <w:lvlJc w:val="left"/>
      <w:pPr>
        <w:tabs>
          <w:tab w:val="num" w:pos="4320"/>
        </w:tabs>
        <w:ind w:left="4320" w:hanging="360"/>
      </w:pPr>
      <w:rPr>
        <w:rFonts w:ascii="Arial" w:hAnsi="Arial" w:cs="Arial" w:hint="default"/>
      </w:rPr>
    </w:lvl>
    <w:lvl w:ilvl="6" w:tplc="0590ACDC" w:tentative="1">
      <w:start w:val="1"/>
      <w:numFmt w:val="bullet"/>
      <w:lvlText w:val="•"/>
      <w:lvlJc w:val="left"/>
      <w:pPr>
        <w:tabs>
          <w:tab w:val="num" w:pos="5040"/>
        </w:tabs>
        <w:ind w:left="5040" w:hanging="360"/>
      </w:pPr>
      <w:rPr>
        <w:rFonts w:ascii="Arial" w:hAnsi="Arial" w:cs="Arial" w:hint="default"/>
      </w:rPr>
    </w:lvl>
    <w:lvl w:ilvl="7" w:tplc="0B5ACB42" w:tentative="1">
      <w:start w:val="1"/>
      <w:numFmt w:val="bullet"/>
      <w:lvlText w:val="•"/>
      <w:lvlJc w:val="left"/>
      <w:pPr>
        <w:tabs>
          <w:tab w:val="num" w:pos="5760"/>
        </w:tabs>
        <w:ind w:left="5760" w:hanging="360"/>
      </w:pPr>
      <w:rPr>
        <w:rFonts w:ascii="Arial" w:hAnsi="Arial" w:cs="Arial" w:hint="default"/>
      </w:rPr>
    </w:lvl>
    <w:lvl w:ilvl="8" w:tplc="608EB78E" w:tentative="1">
      <w:start w:val="1"/>
      <w:numFmt w:val="bullet"/>
      <w:lvlText w:val="•"/>
      <w:lvlJc w:val="left"/>
      <w:pPr>
        <w:tabs>
          <w:tab w:val="num" w:pos="6480"/>
        </w:tabs>
        <w:ind w:left="6480" w:hanging="360"/>
      </w:pPr>
      <w:rPr>
        <w:rFonts w:ascii="Arial" w:hAnsi="Arial" w:cs="Arial" w:hint="default"/>
      </w:rPr>
    </w:lvl>
  </w:abstractNum>
  <w:abstractNum w:abstractNumId="19">
    <w:nsid w:val="7E7D4CEF"/>
    <w:multiLevelType w:val="hybridMultilevel"/>
    <w:tmpl w:val="4E324A22"/>
    <w:lvl w:ilvl="0" w:tplc="472003AA">
      <w:start w:val="1"/>
      <w:numFmt w:val="bullet"/>
      <w:lvlText w:val="•"/>
      <w:lvlJc w:val="left"/>
      <w:pPr>
        <w:tabs>
          <w:tab w:val="num" w:pos="720"/>
        </w:tabs>
        <w:ind w:left="720" w:hanging="360"/>
      </w:pPr>
      <w:rPr>
        <w:rFonts w:ascii="Arial" w:hAnsi="Arial" w:cs="Arial" w:hint="default"/>
      </w:rPr>
    </w:lvl>
    <w:lvl w:ilvl="1" w:tplc="DCFE9566" w:tentative="1">
      <w:start w:val="1"/>
      <w:numFmt w:val="bullet"/>
      <w:lvlText w:val="•"/>
      <w:lvlJc w:val="left"/>
      <w:pPr>
        <w:tabs>
          <w:tab w:val="num" w:pos="1440"/>
        </w:tabs>
        <w:ind w:left="1440" w:hanging="360"/>
      </w:pPr>
      <w:rPr>
        <w:rFonts w:ascii="Arial" w:hAnsi="Arial" w:cs="Arial" w:hint="default"/>
      </w:rPr>
    </w:lvl>
    <w:lvl w:ilvl="2" w:tplc="F7A41416" w:tentative="1">
      <w:start w:val="1"/>
      <w:numFmt w:val="bullet"/>
      <w:lvlText w:val="•"/>
      <w:lvlJc w:val="left"/>
      <w:pPr>
        <w:tabs>
          <w:tab w:val="num" w:pos="2160"/>
        </w:tabs>
        <w:ind w:left="2160" w:hanging="360"/>
      </w:pPr>
      <w:rPr>
        <w:rFonts w:ascii="Arial" w:hAnsi="Arial" w:cs="Arial" w:hint="default"/>
      </w:rPr>
    </w:lvl>
    <w:lvl w:ilvl="3" w:tplc="E7F0A6B4" w:tentative="1">
      <w:start w:val="1"/>
      <w:numFmt w:val="bullet"/>
      <w:lvlText w:val="•"/>
      <w:lvlJc w:val="left"/>
      <w:pPr>
        <w:tabs>
          <w:tab w:val="num" w:pos="2880"/>
        </w:tabs>
        <w:ind w:left="2880" w:hanging="360"/>
      </w:pPr>
      <w:rPr>
        <w:rFonts w:ascii="Arial" w:hAnsi="Arial" w:cs="Arial" w:hint="default"/>
      </w:rPr>
    </w:lvl>
    <w:lvl w:ilvl="4" w:tplc="C256E1AC" w:tentative="1">
      <w:start w:val="1"/>
      <w:numFmt w:val="bullet"/>
      <w:lvlText w:val="•"/>
      <w:lvlJc w:val="left"/>
      <w:pPr>
        <w:tabs>
          <w:tab w:val="num" w:pos="3600"/>
        </w:tabs>
        <w:ind w:left="3600" w:hanging="360"/>
      </w:pPr>
      <w:rPr>
        <w:rFonts w:ascii="Arial" w:hAnsi="Arial" w:cs="Arial" w:hint="default"/>
      </w:rPr>
    </w:lvl>
    <w:lvl w:ilvl="5" w:tplc="23749E0C" w:tentative="1">
      <w:start w:val="1"/>
      <w:numFmt w:val="bullet"/>
      <w:lvlText w:val="•"/>
      <w:lvlJc w:val="left"/>
      <w:pPr>
        <w:tabs>
          <w:tab w:val="num" w:pos="4320"/>
        </w:tabs>
        <w:ind w:left="4320" w:hanging="360"/>
      </w:pPr>
      <w:rPr>
        <w:rFonts w:ascii="Arial" w:hAnsi="Arial" w:cs="Arial" w:hint="default"/>
      </w:rPr>
    </w:lvl>
    <w:lvl w:ilvl="6" w:tplc="98A09B34" w:tentative="1">
      <w:start w:val="1"/>
      <w:numFmt w:val="bullet"/>
      <w:lvlText w:val="•"/>
      <w:lvlJc w:val="left"/>
      <w:pPr>
        <w:tabs>
          <w:tab w:val="num" w:pos="5040"/>
        </w:tabs>
        <w:ind w:left="5040" w:hanging="360"/>
      </w:pPr>
      <w:rPr>
        <w:rFonts w:ascii="Arial" w:hAnsi="Arial" w:cs="Arial" w:hint="default"/>
      </w:rPr>
    </w:lvl>
    <w:lvl w:ilvl="7" w:tplc="C930F416" w:tentative="1">
      <w:start w:val="1"/>
      <w:numFmt w:val="bullet"/>
      <w:lvlText w:val="•"/>
      <w:lvlJc w:val="left"/>
      <w:pPr>
        <w:tabs>
          <w:tab w:val="num" w:pos="5760"/>
        </w:tabs>
        <w:ind w:left="5760" w:hanging="360"/>
      </w:pPr>
      <w:rPr>
        <w:rFonts w:ascii="Arial" w:hAnsi="Arial" w:cs="Arial" w:hint="default"/>
      </w:rPr>
    </w:lvl>
    <w:lvl w:ilvl="8" w:tplc="B1F6BC58" w:tentative="1">
      <w:start w:val="1"/>
      <w:numFmt w:val="bullet"/>
      <w:lvlText w:val="•"/>
      <w:lvlJc w:val="left"/>
      <w:pPr>
        <w:tabs>
          <w:tab w:val="num" w:pos="6480"/>
        </w:tabs>
        <w:ind w:left="6480" w:hanging="360"/>
      </w:pPr>
      <w:rPr>
        <w:rFonts w:ascii="Arial" w:hAnsi="Arial" w:cs="Arial" w:hint="default"/>
      </w:rPr>
    </w:lvl>
  </w:abstractNum>
  <w:num w:numId="1">
    <w:abstractNumId w:val="10"/>
  </w:num>
  <w:num w:numId="2">
    <w:abstractNumId w:val="9"/>
  </w:num>
  <w:num w:numId="3">
    <w:abstractNumId w:val="2"/>
  </w:num>
  <w:num w:numId="4">
    <w:abstractNumId w:val="4"/>
  </w:num>
  <w:num w:numId="5">
    <w:abstractNumId w:val="5"/>
  </w:num>
  <w:num w:numId="6">
    <w:abstractNumId w:val="12"/>
  </w:num>
  <w:num w:numId="7">
    <w:abstractNumId w:val="8"/>
  </w:num>
  <w:num w:numId="8">
    <w:abstractNumId w:val="16"/>
  </w:num>
  <w:num w:numId="9">
    <w:abstractNumId w:val="7"/>
  </w:num>
  <w:num w:numId="10">
    <w:abstractNumId w:val="13"/>
  </w:num>
  <w:num w:numId="11">
    <w:abstractNumId w:val="1"/>
  </w:num>
  <w:num w:numId="12">
    <w:abstractNumId w:val="3"/>
  </w:num>
  <w:num w:numId="13">
    <w:abstractNumId w:val="6"/>
  </w:num>
  <w:num w:numId="14">
    <w:abstractNumId w:val="14"/>
  </w:num>
  <w:num w:numId="15">
    <w:abstractNumId w:val="15"/>
  </w:num>
  <w:num w:numId="16">
    <w:abstractNumId w:val="19"/>
  </w:num>
  <w:num w:numId="17">
    <w:abstractNumId w:val="18"/>
  </w:num>
  <w:num w:numId="18">
    <w:abstractNumId w:val="11"/>
  </w:num>
  <w:num w:numId="19">
    <w:abstractNumId w:val="0"/>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7725"/>
    <w:rsid w:val="00020D3E"/>
    <w:rsid w:val="00025B33"/>
    <w:rsid w:val="00044948"/>
    <w:rsid w:val="0005186B"/>
    <w:rsid w:val="00053034"/>
    <w:rsid w:val="000759C5"/>
    <w:rsid w:val="000838CF"/>
    <w:rsid w:val="00090CA1"/>
    <w:rsid w:val="00096122"/>
    <w:rsid w:val="000A76E9"/>
    <w:rsid w:val="000B0571"/>
    <w:rsid w:val="000D320A"/>
    <w:rsid w:val="000D42B1"/>
    <w:rsid w:val="000D563F"/>
    <w:rsid w:val="000E2955"/>
    <w:rsid w:val="000F3A7F"/>
    <w:rsid w:val="00102124"/>
    <w:rsid w:val="00121416"/>
    <w:rsid w:val="00131399"/>
    <w:rsid w:val="001432DB"/>
    <w:rsid w:val="00173543"/>
    <w:rsid w:val="001764BF"/>
    <w:rsid w:val="00190ED1"/>
    <w:rsid w:val="001C3069"/>
    <w:rsid w:val="001C7180"/>
    <w:rsid w:val="001D0E54"/>
    <w:rsid w:val="0020230D"/>
    <w:rsid w:val="00231806"/>
    <w:rsid w:val="002345F7"/>
    <w:rsid w:val="002416A1"/>
    <w:rsid w:val="00253087"/>
    <w:rsid w:val="002662F2"/>
    <w:rsid w:val="00267725"/>
    <w:rsid w:val="00287F24"/>
    <w:rsid w:val="00290430"/>
    <w:rsid w:val="002C7CAA"/>
    <w:rsid w:val="002E5B97"/>
    <w:rsid w:val="002E67D4"/>
    <w:rsid w:val="002E6DBD"/>
    <w:rsid w:val="002F3C77"/>
    <w:rsid w:val="00307F11"/>
    <w:rsid w:val="00313C17"/>
    <w:rsid w:val="003203D4"/>
    <w:rsid w:val="0033757A"/>
    <w:rsid w:val="003B4046"/>
    <w:rsid w:val="003C19E8"/>
    <w:rsid w:val="003C2B38"/>
    <w:rsid w:val="003C42AA"/>
    <w:rsid w:val="003C446A"/>
    <w:rsid w:val="003E15A8"/>
    <w:rsid w:val="00403115"/>
    <w:rsid w:val="00416BC0"/>
    <w:rsid w:val="00433196"/>
    <w:rsid w:val="004403A4"/>
    <w:rsid w:val="0044069F"/>
    <w:rsid w:val="00442A05"/>
    <w:rsid w:val="00445850"/>
    <w:rsid w:val="00482FD0"/>
    <w:rsid w:val="00487228"/>
    <w:rsid w:val="004C1DCA"/>
    <w:rsid w:val="004D2B7E"/>
    <w:rsid w:val="004E3A43"/>
    <w:rsid w:val="00526C20"/>
    <w:rsid w:val="00533264"/>
    <w:rsid w:val="00570E59"/>
    <w:rsid w:val="005714D7"/>
    <w:rsid w:val="00575EF0"/>
    <w:rsid w:val="0059556E"/>
    <w:rsid w:val="005B1421"/>
    <w:rsid w:val="005B4732"/>
    <w:rsid w:val="005D5460"/>
    <w:rsid w:val="005E4A9A"/>
    <w:rsid w:val="00600980"/>
    <w:rsid w:val="006270E6"/>
    <w:rsid w:val="00637E1D"/>
    <w:rsid w:val="00641D5F"/>
    <w:rsid w:val="006477AE"/>
    <w:rsid w:val="0066037E"/>
    <w:rsid w:val="006A1B2B"/>
    <w:rsid w:val="006B132B"/>
    <w:rsid w:val="006C0B77"/>
    <w:rsid w:val="006C69B2"/>
    <w:rsid w:val="006E50C3"/>
    <w:rsid w:val="006E52A7"/>
    <w:rsid w:val="006E6545"/>
    <w:rsid w:val="006F058E"/>
    <w:rsid w:val="006F304A"/>
    <w:rsid w:val="00714763"/>
    <w:rsid w:val="007165A8"/>
    <w:rsid w:val="007312F8"/>
    <w:rsid w:val="00737031"/>
    <w:rsid w:val="00751135"/>
    <w:rsid w:val="00756D58"/>
    <w:rsid w:val="00762855"/>
    <w:rsid w:val="00775938"/>
    <w:rsid w:val="00784A63"/>
    <w:rsid w:val="007852A0"/>
    <w:rsid w:val="00793458"/>
    <w:rsid w:val="00795AB8"/>
    <w:rsid w:val="007A2675"/>
    <w:rsid w:val="007B79EB"/>
    <w:rsid w:val="007D253B"/>
    <w:rsid w:val="007D468B"/>
    <w:rsid w:val="007E0817"/>
    <w:rsid w:val="007E4B7A"/>
    <w:rsid w:val="008035AA"/>
    <w:rsid w:val="00807307"/>
    <w:rsid w:val="00821330"/>
    <w:rsid w:val="00826109"/>
    <w:rsid w:val="00827B2C"/>
    <w:rsid w:val="00834527"/>
    <w:rsid w:val="008379EA"/>
    <w:rsid w:val="00841609"/>
    <w:rsid w:val="00857BD2"/>
    <w:rsid w:val="008646F2"/>
    <w:rsid w:val="00866B32"/>
    <w:rsid w:val="00881BE4"/>
    <w:rsid w:val="008973D0"/>
    <w:rsid w:val="008A0069"/>
    <w:rsid w:val="008E0E04"/>
    <w:rsid w:val="008E56BA"/>
    <w:rsid w:val="008F32E5"/>
    <w:rsid w:val="008F5502"/>
    <w:rsid w:val="008F7A64"/>
    <w:rsid w:val="00912E94"/>
    <w:rsid w:val="009219A6"/>
    <w:rsid w:val="00940149"/>
    <w:rsid w:val="009407EB"/>
    <w:rsid w:val="0096698C"/>
    <w:rsid w:val="00973354"/>
    <w:rsid w:val="00977255"/>
    <w:rsid w:val="00980CD7"/>
    <w:rsid w:val="00996009"/>
    <w:rsid w:val="009B5E3F"/>
    <w:rsid w:val="009D44EB"/>
    <w:rsid w:val="009D71C0"/>
    <w:rsid w:val="009F4219"/>
    <w:rsid w:val="00A26DF5"/>
    <w:rsid w:val="00A30EFB"/>
    <w:rsid w:val="00A40905"/>
    <w:rsid w:val="00A52BAE"/>
    <w:rsid w:val="00A53A15"/>
    <w:rsid w:val="00A62D9B"/>
    <w:rsid w:val="00A80653"/>
    <w:rsid w:val="00A835F1"/>
    <w:rsid w:val="00A9080C"/>
    <w:rsid w:val="00AA27C8"/>
    <w:rsid w:val="00AB4885"/>
    <w:rsid w:val="00AB6142"/>
    <w:rsid w:val="00AC165F"/>
    <w:rsid w:val="00AE71A1"/>
    <w:rsid w:val="00B02F58"/>
    <w:rsid w:val="00B34931"/>
    <w:rsid w:val="00B362B4"/>
    <w:rsid w:val="00B54070"/>
    <w:rsid w:val="00BD16BC"/>
    <w:rsid w:val="00BE0709"/>
    <w:rsid w:val="00BF4F60"/>
    <w:rsid w:val="00C01BC2"/>
    <w:rsid w:val="00C10D8A"/>
    <w:rsid w:val="00C22790"/>
    <w:rsid w:val="00C22A13"/>
    <w:rsid w:val="00C265E8"/>
    <w:rsid w:val="00C31E6F"/>
    <w:rsid w:val="00C5035A"/>
    <w:rsid w:val="00C624E5"/>
    <w:rsid w:val="00C71B4A"/>
    <w:rsid w:val="00C755CD"/>
    <w:rsid w:val="00C76C00"/>
    <w:rsid w:val="00C85307"/>
    <w:rsid w:val="00C92E5B"/>
    <w:rsid w:val="00C96380"/>
    <w:rsid w:val="00CA0E9B"/>
    <w:rsid w:val="00CC51A4"/>
    <w:rsid w:val="00CD10BE"/>
    <w:rsid w:val="00CE1832"/>
    <w:rsid w:val="00CE3D60"/>
    <w:rsid w:val="00D31916"/>
    <w:rsid w:val="00D32066"/>
    <w:rsid w:val="00D42462"/>
    <w:rsid w:val="00D43842"/>
    <w:rsid w:val="00D708D6"/>
    <w:rsid w:val="00D84CE4"/>
    <w:rsid w:val="00D86102"/>
    <w:rsid w:val="00D8671D"/>
    <w:rsid w:val="00DA12B7"/>
    <w:rsid w:val="00DC209E"/>
    <w:rsid w:val="00DE7A75"/>
    <w:rsid w:val="00DF4686"/>
    <w:rsid w:val="00DF7B2B"/>
    <w:rsid w:val="00E32CC1"/>
    <w:rsid w:val="00E410AE"/>
    <w:rsid w:val="00EB777C"/>
    <w:rsid w:val="00EC37FA"/>
    <w:rsid w:val="00ED2447"/>
    <w:rsid w:val="00F04809"/>
    <w:rsid w:val="00F111AC"/>
    <w:rsid w:val="00F23D68"/>
    <w:rsid w:val="00F36751"/>
    <w:rsid w:val="00F376D5"/>
    <w:rsid w:val="00F8285B"/>
    <w:rsid w:val="00F85353"/>
    <w:rsid w:val="00FB5DBC"/>
    <w:rsid w:val="00FD2ECD"/>
    <w:rsid w:val="00FF3734"/>
    <w:rsid w:val="00FF41B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25"/>
    <w:pPr>
      <w:keepNext/>
      <w:widowControl w:val="0"/>
      <w:spacing w:after="160" w:line="259" w:lineRule="auto"/>
    </w:pPr>
    <w:rPr>
      <w:rFonts w:cs="Calibri"/>
      <w:color w:val="000000"/>
    </w:rPr>
  </w:style>
  <w:style w:type="paragraph" w:styleId="Heading1">
    <w:name w:val="heading 1"/>
    <w:basedOn w:val="Normal1"/>
    <w:next w:val="Normal1"/>
    <w:link w:val="Heading1Char"/>
    <w:uiPriority w:val="99"/>
    <w:qFormat/>
    <w:rsid w:val="00267725"/>
    <w:pPr>
      <w:keepLines/>
      <w:spacing w:before="480" w:after="120"/>
      <w:contextualSpacing/>
      <w:outlineLvl w:val="0"/>
    </w:pPr>
    <w:rPr>
      <w:b/>
      <w:bCs/>
      <w:sz w:val="48"/>
      <w:szCs w:val="48"/>
    </w:rPr>
  </w:style>
  <w:style w:type="paragraph" w:styleId="Heading2">
    <w:name w:val="heading 2"/>
    <w:basedOn w:val="Normal1"/>
    <w:next w:val="Normal1"/>
    <w:link w:val="Heading2Char"/>
    <w:uiPriority w:val="99"/>
    <w:qFormat/>
    <w:rsid w:val="00267725"/>
    <w:pPr>
      <w:keepLines/>
      <w:spacing w:before="360" w:after="80"/>
      <w:contextualSpacing/>
      <w:outlineLvl w:val="1"/>
    </w:pPr>
    <w:rPr>
      <w:b/>
      <w:bCs/>
      <w:sz w:val="36"/>
      <w:szCs w:val="36"/>
    </w:rPr>
  </w:style>
  <w:style w:type="paragraph" w:styleId="Heading3">
    <w:name w:val="heading 3"/>
    <w:basedOn w:val="Normal1"/>
    <w:next w:val="Normal1"/>
    <w:link w:val="Heading3Char"/>
    <w:uiPriority w:val="99"/>
    <w:qFormat/>
    <w:rsid w:val="00267725"/>
    <w:pPr>
      <w:keepLines/>
      <w:spacing w:before="280" w:after="80"/>
      <w:contextualSpacing/>
      <w:outlineLvl w:val="2"/>
    </w:pPr>
    <w:rPr>
      <w:b/>
      <w:bCs/>
      <w:sz w:val="28"/>
      <w:szCs w:val="28"/>
    </w:rPr>
  </w:style>
  <w:style w:type="paragraph" w:styleId="Heading4">
    <w:name w:val="heading 4"/>
    <w:basedOn w:val="Normal1"/>
    <w:next w:val="Normal1"/>
    <w:link w:val="Heading4Char"/>
    <w:uiPriority w:val="99"/>
    <w:qFormat/>
    <w:rsid w:val="00267725"/>
    <w:pPr>
      <w:keepLines/>
      <w:spacing w:before="240" w:after="40"/>
      <w:contextualSpacing/>
      <w:outlineLvl w:val="3"/>
    </w:pPr>
    <w:rPr>
      <w:b/>
      <w:bCs/>
      <w:sz w:val="24"/>
      <w:szCs w:val="24"/>
    </w:rPr>
  </w:style>
  <w:style w:type="paragraph" w:styleId="Heading5">
    <w:name w:val="heading 5"/>
    <w:basedOn w:val="Normal1"/>
    <w:next w:val="Normal1"/>
    <w:link w:val="Heading5Char"/>
    <w:uiPriority w:val="99"/>
    <w:qFormat/>
    <w:rsid w:val="00267725"/>
    <w:pPr>
      <w:keepLines/>
      <w:spacing w:before="220" w:after="40"/>
      <w:contextualSpacing/>
      <w:outlineLvl w:val="4"/>
    </w:pPr>
    <w:rPr>
      <w:b/>
      <w:bCs/>
    </w:rPr>
  </w:style>
  <w:style w:type="paragraph" w:styleId="Heading6">
    <w:name w:val="heading 6"/>
    <w:basedOn w:val="Normal1"/>
    <w:next w:val="Normal1"/>
    <w:link w:val="Heading6Char"/>
    <w:uiPriority w:val="99"/>
    <w:qFormat/>
    <w:rsid w:val="00267725"/>
    <w:pPr>
      <w:keepLines/>
      <w:spacing w:before="200" w:after="40"/>
      <w:contextualSpacing/>
      <w:outlineLvl w:val="5"/>
    </w:pPr>
    <w:rPr>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7725"/>
    <w:rPr>
      <w:rFonts w:ascii="Calibri" w:hAnsi="Calibri" w:cs="Calibri"/>
      <w:b/>
      <w:bCs/>
      <w:color w:val="000000"/>
      <w:sz w:val="48"/>
      <w:szCs w:val="48"/>
      <w:lang w:eastAsia="pt-BR"/>
    </w:rPr>
  </w:style>
  <w:style w:type="character" w:customStyle="1" w:styleId="Heading2Char">
    <w:name w:val="Heading 2 Char"/>
    <w:basedOn w:val="DefaultParagraphFont"/>
    <w:link w:val="Heading2"/>
    <w:uiPriority w:val="99"/>
    <w:rsid w:val="00267725"/>
    <w:rPr>
      <w:rFonts w:ascii="Calibri" w:hAnsi="Calibri" w:cs="Calibri"/>
      <w:b/>
      <w:bCs/>
      <w:color w:val="000000"/>
      <w:sz w:val="36"/>
      <w:szCs w:val="36"/>
      <w:lang w:eastAsia="pt-BR"/>
    </w:rPr>
  </w:style>
  <w:style w:type="character" w:customStyle="1" w:styleId="Heading3Char">
    <w:name w:val="Heading 3 Char"/>
    <w:basedOn w:val="DefaultParagraphFont"/>
    <w:link w:val="Heading3"/>
    <w:uiPriority w:val="99"/>
    <w:rsid w:val="00267725"/>
    <w:rPr>
      <w:rFonts w:ascii="Calibri" w:hAnsi="Calibri" w:cs="Calibri"/>
      <w:b/>
      <w:bCs/>
      <w:color w:val="000000"/>
      <w:sz w:val="28"/>
      <w:szCs w:val="28"/>
      <w:lang w:eastAsia="pt-BR"/>
    </w:rPr>
  </w:style>
  <w:style w:type="character" w:customStyle="1" w:styleId="Heading4Char">
    <w:name w:val="Heading 4 Char"/>
    <w:basedOn w:val="DefaultParagraphFont"/>
    <w:link w:val="Heading4"/>
    <w:uiPriority w:val="99"/>
    <w:rsid w:val="00267725"/>
    <w:rPr>
      <w:rFonts w:ascii="Calibri" w:hAnsi="Calibri" w:cs="Calibri"/>
      <w:b/>
      <w:bCs/>
      <w:color w:val="000000"/>
      <w:sz w:val="24"/>
      <w:szCs w:val="24"/>
      <w:lang w:eastAsia="pt-BR"/>
    </w:rPr>
  </w:style>
  <w:style w:type="character" w:customStyle="1" w:styleId="Heading5Char">
    <w:name w:val="Heading 5 Char"/>
    <w:basedOn w:val="DefaultParagraphFont"/>
    <w:link w:val="Heading5"/>
    <w:uiPriority w:val="99"/>
    <w:rsid w:val="00267725"/>
    <w:rPr>
      <w:rFonts w:ascii="Calibri" w:hAnsi="Calibri" w:cs="Calibri"/>
      <w:b/>
      <w:bCs/>
      <w:color w:val="000000"/>
      <w:lang w:eastAsia="pt-BR"/>
    </w:rPr>
  </w:style>
  <w:style w:type="character" w:customStyle="1" w:styleId="Heading6Char">
    <w:name w:val="Heading 6 Char"/>
    <w:basedOn w:val="DefaultParagraphFont"/>
    <w:link w:val="Heading6"/>
    <w:uiPriority w:val="99"/>
    <w:rsid w:val="00267725"/>
    <w:rPr>
      <w:rFonts w:ascii="Calibri" w:hAnsi="Calibri" w:cs="Calibri"/>
      <w:b/>
      <w:bCs/>
      <w:color w:val="000000"/>
      <w:sz w:val="20"/>
      <w:szCs w:val="20"/>
      <w:lang w:eastAsia="pt-BR"/>
    </w:rPr>
  </w:style>
  <w:style w:type="paragraph" w:styleId="BalloonText">
    <w:name w:val="Balloon Text"/>
    <w:basedOn w:val="Normal"/>
    <w:link w:val="BalloonTextChar"/>
    <w:uiPriority w:val="99"/>
    <w:semiHidden/>
    <w:rsid w:val="00267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725"/>
    <w:rPr>
      <w:rFonts w:ascii="Tahoma" w:hAnsi="Tahoma" w:cs="Tahoma"/>
      <w:color w:val="000000"/>
      <w:sz w:val="16"/>
      <w:szCs w:val="16"/>
      <w:lang w:eastAsia="pt-BR"/>
    </w:rPr>
  </w:style>
  <w:style w:type="paragraph" w:customStyle="1" w:styleId="Normal1">
    <w:name w:val="Normal1"/>
    <w:uiPriority w:val="99"/>
    <w:rsid w:val="00267725"/>
    <w:pPr>
      <w:keepNext/>
      <w:widowControl w:val="0"/>
      <w:spacing w:after="160" w:line="259" w:lineRule="auto"/>
    </w:pPr>
    <w:rPr>
      <w:rFonts w:cs="Calibri"/>
      <w:color w:val="000000"/>
    </w:rPr>
  </w:style>
  <w:style w:type="table" w:customStyle="1" w:styleId="TableNormal1">
    <w:name w:val="Table Normal1"/>
    <w:uiPriority w:val="99"/>
    <w:rsid w:val="00267725"/>
    <w:pPr>
      <w:keepNext/>
      <w:widowControl w:val="0"/>
      <w:spacing w:after="160" w:line="259" w:lineRule="auto"/>
    </w:pPr>
    <w:rPr>
      <w:rFonts w:cs="Calibri"/>
      <w:color w:val="000000"/>
    </w:rPr>
    <w:tblPr>
      <w:tblCellMar>
        <w:top w:w="0" w:type="dxa"/>
        <w:left w:w="0" w:type="dxa"/>
        <w:bottom w:w="0" w:type="dxa"/>
        <w:right w:w="0" w:type="dxa"/>
      </w:tblCellMar>
    </w:tblPr>
  </w:style>
  <w:style w:type="paragraph" w:styleId="Title">
    <w:name w:val="Title"/>
    <w:basedOn w:val="Normal1"/>
    <w:next w:val="Normal1"/>
    <w:link w:val="TitleChar"/>
    <w:uiPriority w:val="99"/>
    <w:qFormat/>
    <w:rsid w:val="00267725"/>
    <w:pPr>
      <w:keepLines/>
      <w:spacing w:before="480" w:after="120"/>
      <w:contextualSpacing/>
    </w:pPr>
    <w:rPr>
      <w:b/>
      <w:bCs/>
      <w:sz w:val="72"/>
      <w:szCs w:val="72"/>
    </w:rPr>
  </w:style>
  <w:style w:type="character" w:customStyle="1" w:styleId="TitleChar">
    <w:name w:val="Title Char"/>
    <w:basedOn w:val="DefaultParagraphFont"/>
    <w:link w:val="Title"/>
    <w:uiPriority w:val="99"/>
    <w:rsid w:val="00267725"/>
    <w:rPr>
      <w:rFonts w:ascii="Calibri" w:hAnsi="Calibri" w:cs="Calibri"/>
      <w:b/>
      <w:bCs/>
      <w:color w:val="000000"/>
      <w:sz w:val="72"/>
      <w:szCs w:val="72"/>
      <w:lang w:eastAsia="pt-BR"/>
    </w:rPr>
  </w:style>
  <w:style w:type="paragraph" w:styleId="Subtitle">
    <w:name w:val="Subtitle"/>
    <w:basedOn w:val="Normal1"/>
    <w:next w:val="Normal1"/>
    <w:link w:val="SubtitleChar"/>
    <w:uiPriority w:val="99"/>
    <w:qFormat/>
    <w:rsid w:val="00267725"/>
    <w:pPr>
      <w:keepLines/>
      <w:spacing w:before="360" w:after="80"/>
      <w:contextualSpacing/>
    </w:pPr>
    <w:rPr>
      <w:rFonts w:ascii="Georgia" w:hAnsi="Georgia" w:cs="Georgia"/>
      <w:i/>
      <w:iCs/>
      <w:color w:val="666666"/>
      <w:sz w:val="48"/>
      <w:szCs w:val="48"/>
    </w:rPr>
  </w:style>
  <w:style w:type="character" w:customStyle="1" w:styleId="SubtitleChar">
    <w:name w:val="Subtitle Char"/>
    <w:basedOn w:val="DefaultParagraphFont"/>
    <w:link w:val="Subtitle"/>
    <w:uiPriority w:val="99"/>
    <w:rsid w:val="00267725"/>
    <w:rPr>
      <w:rFonts w:ascii="Georgia" w:hAnsi="Georgia" w:cs="Georgia"/>
      <w:i/>
      <w:iCs/>
      <w:color w:val="666666"/>
      <w:sz w:val="48"/>
      <w:szCs w:val="48"/>
      <w:lang w:eastAsia="pt-BR"/>
    </w:rPr>
  </w:style>
  <w:style w:type="paragraph" w:styleId="FootnoteText">
    <w:name w:val="footnote text"/>
    <w:basedOn w:val="Normal"/>
    <w:link w:val="FootnoteTextChar"/>
    <w:uiPriority w:val="99"/>
    <w:semiHidden/>
    <w:rsid w:val="002677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7725"/>
    <w:rPr>
      <w:rFonts w:ascii="Calibri" w:hAnsi="Calibri" w:cs="Calibri"/>
      <w:color w:val="000000"/>
      <w:sz w:val="20"/>
      <w:szCs w:val="20"/>
      <w:lang w:eastAsia="pt-BR"/>
    </w:rPr>
  </w:style>
  <w:style w:type="character" w:styleId="FootnoteReference">
    <w:name w:val="footnote reference"/>
    <w:basedOn w:val="DefaultParagraphFont"/>
    <w:uiPriority w:val="99"/>
    <w:semiHidden/>
    <w:rsid w:val="00267725"/>
    <w:rPr>
      <w:vertAlign w:val="superscript"/>
    </w:rPr>
  </w:style>
  <w:style w:type="paragraph" w:styleId="Header">
    <w:name w:val="header"/>
    <w:basedOn w:val="Normal"/>
    <w:link w:val="HeaderChar"/>
    <w:uiPriority w:val="99"/>
    <w:rsid w:val="00267725"/>
    <w:pPr>
      <w:tabs>
        <w:tab w:val="center" w:pos="4252"/>
        <w:tab w:val="right" w:pos="8504"/>
      </w:tabs>
      <w:spacing w:after="0" w:line="240" w:lineRule="auto"/>
    </w:pPr>
  </w:style>
  <w:style w:type="character" w:customStyle="1" w:styleId="HeaderChar">
    <w:name w:val="Header Char"/>
    <w:basedOn w:val="DefaultParagraphFont"/>
    <w:link w:val="Header"/>
    <w:uiPriority w:val="99"/>
    <w:rsid w:val="00267725"/>
    <w:rPr>
      <w:rFonts w:ascii="Calibri" w:hAnsi="Calibri" w:cs="Calibri"/>
      <w:color w:val="000000"/>
      <w:lang w:eastAsia="pt-BR"/>
    </w:rPr>
  </w:style>
  <w:style w:type="paragraph" w:styleId="Footer">
    <w:name w:val="footer"/>
    <w:basedOn w:val="Normal"/>
    <w:link w:val="FooterChar"/>
    <w:uiPriority w:val="99"/>
    <w:rsid w:val="00267725"/>
    <w:pPr>
      <w:tabs>
        <w:tab w:val="center" w:pos="4252"/>
        <w:tab w:val="right" w:pos="8504"/>
      </w:tabs>
      <w:spacing w:after="0" w:line="240" w:lineRule="auto"/>
    </w:pPr>
  </w:style>
  <w:style w:type="character" w:customStyle="1" w:styleId="FooterChar">
    <w:name w:val="Footer Char"/>
    <w:basedOn w:val="DefaultParagraphFont"/>
    <w:link w:val="Footer"/>
    <w:uiPriority w:val="99"/>
    <w:rsid w:val="00267725"/>
    <w:rPr>
      <w:rFonts w:ascii="Calibri" w:hAnsi="Calibri" w:cs="Calibri"/>
      <w:color w:val="000000"/>
      <w:lang w:eastAsia="pt-BR"/>
    </w:rPr>
  </w:style>
  <w:style w:type="paragraph" w:styleId="ListParagraph">
    <w:name w:val="List Paragraph"/>
    <w:basedOn w:val="Normal"/>
    <w:uiPriority w:val="99"/>
    <w:qFormat/>
    <w:rsid w:val="00267725"/>
    <w:pPr>
      <w:keepNext w:val="0"/>
      <w:widowControl/>
      <w:spacing w:after="0" w:line="240" w:lineRule="auto"/>
      <w:ind w:left="720"/>
      <w:contextualSpacing/>
    </w:pPr>
    <w:rPr>
      <w:rFonts w:ascii="Times New Roman" w:eastAsia="Times New Roman" w:hAnsi="Times New Roman" w:cs="Times New Roman"/>
      <w:color w:val="auto"/>
      <w:sz w:val="24"/>
      <w:szCs w:val="24"/>
    </w:rPr>
  </w:style>
  <w:style w:type="paragraph" w:customStyle="1" w:styleId="Default">
    <w:name w:val="Default"/>
    <w:uiPriority w:val="99"/>
    <w:rsid w:val="00267725"/>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rsid w:val="0005186B"/>
    <w:rPr>
      <w:sz w:val="16"/>
      <w:szCs w:val="16"/>
    </w:rPr>
  </w:style>
  <w:style w:type="paragraph" w:styleId="CommentText">
    <w:name w:val="annotation text"/>
    <w:basedOn w:val="Normal"/>
    <w:link w:val="CommentTextChar"/>
    <w:uiPriority w:val="99"/>
    <w:semiHidden/>
    <w:rsid w:val="0005186B"/>
    <w:rPr>
      <w:sz w:val="20"/>
      <w:szCs w:val="20"/>
    </w:rPr>
  </w:style>
  <w:style w:type="character" w:customStyle="1" w:styleId="CommentTextChar">
    <w:name w:val="Comment Text Char"/>
    <w:basedOn w:val="DefaultParagraphFont"/>
    <w:link w:val="CommentText"/>
    <w:uiPriority w:val="99"/>
    <w:semiHidden/>
    <w:rsid w:val="003C19E8"/>
    <w:rPr>
      <w:color w:val="000000"/>
      <w:sz w:val="20"/>
      <w:szCs w:val="20"/>
    </w:rPr>
  </w:style>
  <w:style w:type="paragraph" w:styleId="CommentSubject">
    <w:name w:val="annotation subject"/>
    <w:basedOn w:val="CommentText"/>
    <w:next w:val="CommentText"/>
    <w:link w:val="CommentSubjectChar"/>
    <w:uiPriority w:val="99"/>
    <w:semiHidden/>
    <w:rsid w:val="0005186B"/>
    <w:rPr>
      <w:b/>
      <w:bCs/>
    </w:rPr>
  </w:style>
  <w:style w:type="character" w:customStyle="1" w:styleId="CommentSubjectChar">
    <w:name w:val="Comment Subject Char"/>
    <w:basedOn w:val="CommentTextChar"/>
    <w:link w:val="CommentSubject"/>
    <w:uiPriority w:val="99"/>
    <w:semiHidden/>
    <w:rsid w:val="003C19E8"/>
    <w:rPr>
      <w:b/>
      <w:bCs/>
    </w:rPr>
  </w:style>
  <w:style w:type="character" w:styleId="Hyperlink">
    <w:name w:val="Hyperlink"/>
    <w:basedOn w:val="DefaultParagraphFont"/>
    <w:uiPriority w:val="99"/>
    <w:rsid w:val="00A40905"/>
    <w:rPr>
      <w:color w:val="0000FF"/>
      <w:u w:val="single"/>
    </w:rPr>
  </w:style>
</w:styles>
</file>

<file path=word/webSettings.xml><?xml version="1.0" encoding="utf-8"?>
<w:webSettings xmlns:r="http://schemas.openxmlformats.org/officeDocument/2006/relationships" xmlns:w="http://schemas.openxmlformats.org/wordprocessingml/2006/main">
  <w:divs>
    <w:div w:id="2106462906">
      <w:marLeft w:val="0"/>
      <w:marRight w:val="0"/>
      <w:marTop w:val="0"/>
      <w:marBottom w:val="0"/>
      <w:divBdr>
        <w:top w:val="none" w:sz="0" w:space="0" w:color="auto"/>
        <w:left w:val="none" w:sz="0" w:space="0" w:color="auto"/>
        <w:bottom w:val="none" w:sz="0" w:space="0" w:color="auto"/>
        <w:right w:val="none" w:sz="0" w:space="0" w:color="auto"/>
      </w:divBdr>
      <w:divsChild>
        <w:div w:id="2106462905">
          <w:marLeft w:val="0"/>
          <w:marRight w:val="0"/>
          <w:marTop w:val="0"/>
          <w:marBottom w:val="0"/>
          <w:divBdr>
            <w:top w:val="none" w:sz="0" w:space="0" w:color="auto"/>
            <w:left w:val="none" w:sz="0" w:space="0" w:color="auto"/>
            <w:bottom w:val="none" w:sz="0" w:space="0" w:color="auto"/>
            <w:right w:val="none" w:sz="0" w:space="0" w:color="auto"/>
          </w:divBdr>
        </w:div>
        <w:div w:id="2106462908">
          <w:marLeft w:val="0"/>
          <w:marRight w:val="0"/>
          <w:marTop w:val="0"/>
          <w:marBottom w:val="0"/>
          <w:divBdr>
            <w:top w:val="none" w:sz="0" w:space="0" w:color="auto"/>
            <w:left w:val="none" w:sz="0" w:space="0" w:color="auto"/>
            <w:bottom w:val="none" w:sz="0" w:space="0" w:color="auto"/>
            <w:right w:val="none" w:sz="0" w:space="0" w:color="auto"/>
          </w:divBdr>
        </w:div>
        <w:div w:id="2106462910">
          <w:marLeft w:val="0"/>
          <w:marRight w:val="0"/>
          <w:marTop w:val="0"/>
          <w:marBottom w:val="0"/>
          <w:divBdr>
            <w:top w:val="none" w:sz="0" w:space="0" w:color="auto"/>
            <w:left w:val="none" w:sz="0" w:space="0" w:color="auto"/>
            <w:bottom w:val="none" w:sz="0" w:space="0" w:color="auto"/>
            <w:right w:val="none" w:sz="0" w:space="0" w:color="auto"/>
          </w:divBdr>
        </w:div>
        <w:div w:id="2106462912">
          <w:marLeft w:val="0"/>
          <w:marRight w:val="0"/>
          <w:marTop w:val="0"/>
          <w:marBottom w:val="0"/>
          <w:divBdr>
            <w:top w:val="none" w:sz="0" w:space="0" w:color="auto"/>
            <w:left w:val="none" w:sz="0" w:space="0" w:color="auto"/>
            <w:bottom w:val="none" w:sz="0" w:space="0" w:color="auto"/>
            <w:right w:val="none" w:sz="0" w:space="0" w:color="auto"/>
          </w:divBdr>
        </w:div>
      </w:divsChild>
    </w:div>
    <w:div w:id="2106462909">
      <w:marLeft w:val="0"/>
      <w:marRight w:val="0"/>
      <w:marTop w:val="0"/>
      <w:marBottom w:val="0"/>
      <w:divBdr>
        <w:top w:val="none" w:sz="0" w:space="0" w:color="auto"/>
        <w:left w:val="none" w:sz="0" w:space="0" w:color="auto"/>
        <w:bottom w:val="none" w:sz="0" w:space="0" w:color="auto"/>
        <w:right w:val="none" w:sz="0" w:space="0" w:color="auto"/>
      </w:divBdr>
      <w:divsChild>
        <w:div w:id="2106462907">
          <w:marLeft w:val="0"/>
          <w:marRight w:val="0"/>
          <w:marTop w:val="0"/>
          <w:marBottom w:val="0"/>
          <w:divBdr>
            <w:top w:val="none" w:sz="0" w:space="0" w:color="auto"/>
            <w:left w:val="none" w:sz="0" w:space="0" w:color="auto"/>
            <w:bottom w:val="none" w:sz="0" w:space="0" w:color="auto"/>
            <w:right w:val="none" w:sz="0" w:space="0" w:color="auto"/>
          </w:divBdr>
        </w:div>
        <w:div w:id="2106462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apas.fee.tche.br/wp-content/uploads/2009/08/corede_vale_do_cai_2008_municipios.p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eferson.schaeffer@univates.br" TargetMode="External"/><Relationship Id="rId2" Type="http://schemas.openxmlformats.org/officeDocument/2006/relationships/hyperlink" Target="mailto:tweizenmann1@univates.br" TargetMode="External"/><Relationship Id="rId1" Type="http://schemas.openxmlformats.org/officeDocument/2006/relationships/hyperlink" Target="mailto:lflaroque@univate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739</TotalTime>
  <Pages>23</Pages>
  <Words>7995</Words>
  <Characters>-32766</Characters>
  <Application>Microsoft Office Outlook</Application>
  <DocSecurity>0</DocSecurity>
  <Lines>0</Lines>
  <Paragraphs>0</Paragraphs>
  <ScaleCrop>false</ScaleCrop>
  <Company>Univates - Centro Universitário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RELAÇÕES INTERÉTNICAS: (DES)ENCONTROS ENTRE KAINGANG E IMIGRANTES HOLANDESES NO SÉCULO XIX EM TERRITÓRIOS DAS BACIAS HIDROGRÁF</dc:title>
  <dc:subject/>
  <dc:creator>Aluno</dc:creator>
  <cp:keywords/>
  <dc:description/>
  <cp:lastModifiedBy>Luís Laroque</cp:lastModifiedBy>
  <cp:revision>35</cp:revision>
  <dcterms:created xsi:type="dcterms:W3CDTF">2018-06-28T22:58:00Z</dcterms:created>
  <dcterms:modified xsi:type="dcterms:W3CDTF">2018-07-01T02:08:00Z</dcterms:modified>
</cp:coreProperties>
</file>